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74F56024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#11</w:t>
      </w:r>
      <w:r w:rsidR="006F3690">
        <w:rPr>
          <w:b/>
          <w:noProof/>
          <w:sz w:val="24"/>
          <w:lang w:val="en-US"/>
        </w:rPr>
        <w:t>8</w:t>
      </w:r>
      <w:r w:rsidR="000C416C" w:rsidRPr="000C416C">
        <w:rPr>
          <w:b/>
          <w:noProof/>
          <w:sz w:val="24"/>
          <w:lang w:val="en-US"/>
        </w:rPr>
        <w:t xml:space="preserve"> </w:t>
      </w:r>
      <w:r w:rsidR="006F3690">
        <w:rPr>
          <w:b/>
          <w:noProof/>
          <w:sz w:val="24"/>
          <w:lang w:val="en-US"/>
        </w:rPr>
        <w:t xml:space="preserve">                                                               </w:t>
      </w:r>
      <w:r w:rsidR="00D4086D" w:rsidRPr="00D4086D">
        <w:rPr>
          <w:b/>
          <w:noProof/>
          <w:sz w:val="24"/>
          <w:lang w:val="en-US"/>
        </w:rPr>
        <w:t>R3-226269</w:t>
      </w:r>
    </w:p>
    <w:p w14:paraId="351CA33D" w14:textId="35D9954E" w:rsidR="00347001" w:rsidRPr="002D2634" w:rsidRDefault="009176DF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Toulouse, France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 xml:space="preserve">France November 14 – 18, 2022                                               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2B5D5091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8460EF">
        <w:rPr>
          <w:sz w:val="24"/>
          <w:lang w:val="pt-PT"/>
        </w:rPr>
        <w:t>13.</w:t>
      </w:r>
      <w:r w:rsidR="00524ACC">
        <w:rPr>
          <w:sz w:val="24"/>
          <w:lang w:val="pt-PT"/>
        </w:rPr>
        <w:t>3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738482B3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</w:t>
      </w:r>
      <w:r w:rsidR="00795580">
        <w:rPr>
          <w:rFonts w:ascii="Arial" w:hAnsi="Arial"/>
          <w:bCs/>
          <w:sz w:val="24"/>
        </w:rPr>
        <w:t>d</w:t>
      </w:r>
    </w:p>
    <w:p w14:paraId="74344D9C" w14:textId="4AB59B79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bookmarkStart w:id="0" w:name="OLE_LINK1"/>
      <w:r w:rsidR="009F7817">
        <w:rPr>
          <w:rFonts w:ascii="Arial" w:hAnsi="Arial"/>
          <w:sz w:val="24"/>
        </w:rPr>
        <w:t xml:space="preserve">Enhancements for mobility of IAB-node and </w:t>
      </w:r>
      <w:proofErr w:type="gramStart"/>
      <w:r w:rsidR="00587FD5">
        <w:rPr>
          <w:rFonts w:ascii="Arial" w:hAnsi="Arial"/>
          <w:sz w:val="24"/>
        </w:rPr>
        <w:t>its</w:t>
      </w:r>
      <w:proofErr w:type="gramEnd"/>
      <w:r w:rsidR="00587FD5">
        <w:rPr>
          <w:rFonts w:ascii="Arial" w:hAnsi="Arial"/>
          <w:sz w:val="24"/>
        </w:rPr>
        <w:t xml:space="preserve"> </w:t>
      </w:r>
      <w:r w:rsidR="009F7817">
        <w:rPr>
          <w:rFonts w:ascii="Arial" w:hAnsi="Arial"/>
          <w:sz w:val="24"/>
        </w:rPr>
        <w:t>served UEs</w:t>
      </w:r>
      <w:bookmarkEnd w:id="0"/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58ED9B8C" w14:textId="2D725B3D" w:rsidR="009E1969" w:rsidRDefault="009E1969" w:rsidP="009E1969">
      <w:pPr>
        <w:spacing w:after="0"/>
      </w:pPr>
      <w:r>
        <w:t xml:space="preserve">The last meeting achieved the following agreements on enhancements for mobility of the IAB-node and </w:t>
      </w:r>
      <w:proofErr w:type="gramStart"/>
      <w:r>
        <w:t>its</w:t>
      </w:r>
      <w:proofErr w:type="gramEnd"/>
      <w:r>
        <w:t xml:space="preserve"> served UEs [1]:</w:t>
      </w:r>
    </w:p>
    <w:p w14:paraId="6755CDBE" w14:textId="77777777" w:rsidR="00D80F5E" w:rsidRDefault="00D80F5E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6251C1B" w14:textId="77777777" w:rsidR="003B115A" w:rsidRDefault="003B115A" w:rsidP="003B115A">
            <w:pPr>
              <w:widowControl w:val="0"/>
              <w:spacing w:after="6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After baseline procedures have been established, RAN3 to discuss the benefit and whether to support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signaling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 of information related to multiple UE contexts in a single message for UE handover preparation, path switch, and context release procedures.</w:t>
            </w:r>
          </w:p>
          <w:p w14:paraId="18B40A28" w14:textId="77777777" w:rsidR="003B115A" w:rsidRDefault="003B115A" w:rsidP="003B115A">
            <w:pPr>
              <w:widowControl w:val="0"/>
              <w:spacing w:after="6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As the baseline, F1 establishment and configuration of the new logical DU follows legacy procedures. </w:t>
            </w:r>
          </w:p>
          <w:p w14:paraId="4DF66BE9" w14:textId="77777777" w:rsidR="003B115A" w:rsidRDefault="003B115A" w:rsidP="003B115A">
            <w:pPr>
              <w:widowControl w:val="0"/>
              <w:spacing w:after="6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RAN3 to discuss whether and which information can be shared between two logical DUs in case of IAB-DU migration.</w:t>
            </w:r>
          </w:p>
          <w:p w14:paraId="01969926" w14:textId="77777777" w:rsidR="003B115A" w:rsidRDefault="003B115A" w:rsidP="003B115A">
            <w:pPr>
              <w:widowControl w:val="0"/>
              <w:spacing w:after="6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RAN3 to discuss which of the OAM-configured and network-configured parameters may be pre-configured at a mobile IAB-node, after a baseline procedure for IAB-DU migration is developed.</w:t>
            </w:r>
          </w:p>
          <w:p w14:paraId="097DEF92" w14:textId="77777777" w:rsidR="003B115A" w:rsidRDefault="003B115A" w:rsidP="003B115A">
            <w:pPr>
              <w:widowControl w:val="0"/>
              <w:spacing w:after="6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Source donor CU of mobile IAB-MT informs the target donor CU of mobile IAB-MT that the migrating node is a mobile IAB-node, via explicit indication in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XnAP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 HO Request message.</w:t>
            </w:r>
          </w:p>
          <w:p w14:paraId="3F5C6053" w14:textId="77777777" w:rsidR="003B115A" w:rsidRDefault="003B115A" w:rsidP="003B115A">
            <w:pPr>
              <w:widowControl w:val="0"/>
              <w:spacing w:after="6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RAN3 to discuss whether source donor should know whether the target cell belongs to a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mIAB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-Node.</w:t>
            </w:r>
          </w:p>
          <w:p w14:paraId="449BCE1F" w14:textId="0BDBE1A4" w:rsidR="003B115A" w:rsidRDefault="003B115A" w:rsidP="003B115A">
            <w:pPr>
              <w:widowControl w:val="0"/>
              <w:spacing w:after="60"/>
              <w:ind w:left="144" w:hanging="144"/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The NCGI of the mobile IAB-DU cell shall contain the </w:t>
            </w:r>
            <w:proofErr w:type="spellStart"/>
            <w:r>
              <w:rPr>
                <w:rFonts w:ascii="Calibri" w:hAnsi="Calibri" w:cs="Calibri"/>
                <w:color w:val="FF0000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ID of the F1-terminating donor CU</w:t>
            </w:r>
          </w:p>
          <w:p w14:paraId="283F5BFF" w14:textId="77777777" w:rsidR="003B115A" w:rsidRDefault="003B115A" w:rsidP="003B115A">
            <w:pPr>
              <w:widowControl w:val="0"/>
              <w:spacing w:after="6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The NCGI of the mobile IAB-DU cell is changed when the F1-terminating donor CU of the mobile IAB-DU is changed.</w:t>
            </w:r>
          </w:p>
          <w:p w14:paraId="21B90C39" w14:textId="77777777" w:rsidR="003B115A" w:rsidRDefault="003B115A" w:rsidP="003B115A">
            <w:pPr>
              <w:widowControl w:val="0"/>
              <w:spacing w:after="6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RAN3 to further discuss the following options for TAC/RANAC issue:</w:t>
            </w:r>
          </w:p>
          <w:p w14:paraId="53169E3A" w14:textId="77777777" w:rsidR="003B115A" w:rsidRDefault="003B115A" w:rsidP="003B115A">
            <w:pPr>
              <w:widowControl w:val="0"/>
              <w:spacing w:after="6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ab/>
              <w:t xml:space="preserve">Option 1: The TAC/RANAC for the mobile IAB cell can be changed </w:t>
            </w:r>
            <w:proofErr w:type="gramStart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in order to</w:t>
            </w:r>
            <w:proofErr w:type="gramEnd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 reflect the physical location when the mobile IAB-node moves. </w:t>
            </w:r>
          </w:p>
          <w:p w14:paraId="080149EE" w14:textId="5F590C46" w:rsidR="00B65E42" w:rsidRPr="003B115A" w:rsidRDefault="003B115A" w:rsidP="003B115A">
            <w:pPr>
              <w:widowControl w:val="0"/>
              <w:spacing w:after="6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ab/>
              <w:t>Option 2: Using static TAC/RANAC for mobile IAB when it moves. Involvement of SA2 may be needed</w:t>
            </w:r>
          </w:p>
        </w:tc>
      </w:tr>
    </w:tbl>
    <w:p w14:paraId="5CA0210C" w14:textId="77777777" w:rsidR="00B65E42" w:rsidRDefault="00B65E42" w:rsidP="006600CD">
      <w:pPr>
        <w:spacing w:after="0"/>
      </w:pPr>
    </w:p>
    <w:p w14:paraId="0D6EAC93" w14:textId="587922EF" w:rsidR="00D45BC0" w:rsidRDefault="00D45BC0" w:rsidP="00D45BC0">
      <w:pPr>
        <w:spacing w:after="0"/>
      </w:pPr>
      <w:r>
        <w:t xml:space="preserve">This contribution aims to make further progress in the discussion of </w:t>
      </w:r>
      <w:r w:rsidR="00BD7D65">
        <w:t>these topics</w:t>
      </w:r>
      <w:r>
        <w:t xml:space="preserve">. </w:t>
      </w:r>
    </w:p>
    <w:p w14:paraId="567263CA" w14:textId="77777777" w:rsidR="00F705E6" w:rsidRPr="00320A6B" w:rsidRDefault="00F705E6" w:rsidP="00382A17"/>
    <w:p w14:paraId="4B385BA9" w14:textId="77777777" w:rsidR="00BA0EDF" w:rsidRPr="00320A6B" w:rsidRDefault="00BA0EDF" w:rsidP="00BA0EDF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5FF595DC" w14:textId="6E6017CF" w:rsidR="006457D8" w:rsidRPr="00320A6B" w:rsidRDefault="006457D8" w:rsidP="006457D8">
      <w:pPr>
        <w:pStyle w:val="Heading2"/>
      </w:pPr>
      <w:r w:rsidRPr="00320A6B">
        <w:t>2.</w:t>
      </w:r>
      <w:r>
        <w:t>1</w:t>
      </w:r>
      <w:r w:rsidRPr="00320A6B">
        <w:tab/>
      </w:r>
      <w:r w:rsidR="008452AD">
        <w:t xml:space="preserve">Mobile IAB-node </w:t>
      </w:r>
      <w:r w:rsidR="00696A0A">
        <w:t xml:space="preserve">Configuration </w:t>
      </w:r>
    </w:p>
    <w:p w14:paraId="7E1E7D37" w14:textId="1CF444EF" w:rsidR="008452AD" w:rsidRPr="00821CC7" w:rsidRDefault="008452AD" w:rsidP="001B11ED">
      <w:pPr>
        <w:widowControl w:val="0"/>
        <w:spacing w:after="120"/>
        <w:ind w:left="144" w:hanging="144"/>
        <w:rPr>
          <w:rFonts w:eastAsia="MS Mincho"/>
          <w:b/>
          <w:bCs/>
          <w:szCs w:val="24"/>
          <w:u w:val="single"/>
          <w:lang w:eastAsia="en-GB"/>
        </w:rPr>
      </w:pPr>
      <w:r w:rsidRPr="00821CC7">
        <w:rPr>
          <w:rFonts w:eastAsia="MS Mincho"/>
          <w:b/>
          <w:bCs/>
          <w:szCs w:val="24"/>
          <w:u w:val="single"/>
          <w:lang w:eastAsia="en-GB"/>
        </w:rPr>
        <w:t>Issue</w:t>
      </w:r>
      <w:r w:rsidR="00F67B51" w:rsidRPr="00821CC7">
        <w:rPr>
          <w:rFonts w:eastAsia="MS Mincho"/>
          <w:b/>
          <w:bCs/>
          <w:szCs w:val="24"/>
          <w:u w:val="single"/>
          <w:lang w:eastAsia="en-GB"/>
        </w:rPr>
        <w:t xml:space="preserve"> 1</w:t>
      </w:r>
      <w:r w:rsidRPr="00821CC7">
        <w:rPr>
          <w:rFonts w:eastAsia="MS Mincho"/>
          <w:b/>
          <w:bCs/>
          <w:szCs w:val="24"/>
          <w:u w:val="single"/>
          <w:lang w:eastAsia="en-GB"/>
        </w:rPr>
        <w:t>: Whether and which information can be shared between two logical DUs in case of IAB-DU migration</w:t>
      </w:r>
    </w:p>
    <w:p w14:paraId="718F00BD" w14:textId="5AF244E8" w:rsidR="00A3797F" w:rsidRDefault="00A3797F" w:rsidP="001B11ED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 w:val="0"/>
        </w:rPr>
      </w:pPr>
      <w:r w:rsidRPr="00A3797F">
        <w:rPr>
          <w:rFonts w:ascii="Times New Roman" w:hAnsi="Times New Roman"/>
          <w:b w:val="0"/>
        </w:rPr>
        <w:t xml:space="preserve">All information the </w:t>
      </w:r>
      <w:r w:rsidR="00821CC7">
        <w:rPr>
          <w:rFonts w:ascii="Times New Roman" w:hAnsi="Times New Roman"/>
          <w:b w:val="0"/>
        </w:rPr>
        <w:t>source</w:t>
      </w:r>
      <w:r w:rsidRPr="00A3797F">
        <w:rPr>
          <w:rFonts w:ascii="Times New Roman" w:hAnsi="Times New Roman"/>
          <w:b w:val="0"/>
        </w:rPr>
        <w:t xml:space="preserve"> logical DU </w:t>
      </w:r>
      <w:r w:rsidR="00821CC7">
        <w:rPr>
          <w:rFonts w:ascii="Times New Roman" w:hAnsi="Times New Roman"/>
          <w:b w:val="0"/>
        </w:rPr>
        <w:t>shares with</w:t>
      </w:r>
      <w:r w:rsidRPr="00A3797F">
        <w:rPr>
          <w:rFonts w:ascii="Times New Roman" w:hAnsi="Times New Roman"/>
          <w:b w:val="0"/>
        </w:rPr>
        <w:t xml:space="preserve"> the </w:t>
      </w:r>
      <w:r w:rsidR="00821CC7">
        <w:rPr>
          <w:rFonts w:ascii="Times New Roman" w:hAnsi="Times New Roman"/>
          <w:b w:val="0"/>
        </w:rPr>
        <w:t>target</w:t>
      </w:r>
      <w:r w:rsidRPr="00A3797F">
        <w:rPr>
          <w:rFonts w:ascii="Times New Roman" w:hAnsi="Times New Roman"/>
          <w:b w:val="0"/>
        </w:rPr>
        <w:t xml:space="preserve"> logical DU needs to be reported to the </w:t>
      </w:r>
      <w:r w:rsidR="00821CC7">
        <w:rPr>
          <w:rFonts w:ascii="Times New Roman" w:hAnsi="Times New Roman"/>
          <w:b w:val="0"/>
        </w:rPr>
        <w:t xml:space="preserve">target logical DU’s donor-CU. </w:t>
      </w:r>
      <w:r>
        <w:rPr>
          <w:rFonts w:ascii="Times New Roman" w:hAnsi="Times New Roman"/>
          <w:b w:val="0"/>
        </w:rPr>
        <w:t xml:space="preserve">This information </w:t>
      </w:r>
      <w:r w:rsidR="00821CC7">
        <w:rPr>
          <w:rFonts w:ascii="Times New Roman" w:hAnsi="Times New Roman"/>
          <w:b w:val="0"/>
        </w:rPr>
        <w:t xml:space="preserve">should be reported when the target logical DU establishes F1 to the target CU, i.e., </w:t>
      </w:r>
      <w:r>
        <w:rPr>
          <w:rFonts w:ascii="Times New Roman" w:hAnsi="Times New Roman"/>
          <w:b w:val="0"/>
        </w:rPr>
        <w:t xml:space="preserve">during the F1 Setup procedure. </w:t>
      </w:r>
      <w:r w:rsidR="00821CC7">
        <w:rPr>
          <w:rFonts w:ascii="Times New Roman" w:hAnsi="Times New Roman"/>
          <w:b w:val="0"/>
        </w:rPr>
        <w:t>Since IAB-MT handover and IAB-DU migration can occur at different times, the information cannot be included in the IAB-MT’s handover preparation.</w:t>
      </w:r>
    </w:p>
    <w:p w14:paraId="614513B1" w14:textId="64039AE6" w:rsidR="00821CC7" w:rsidRPr="00A3797F" w:rsidRDefault="00821CC7" w:rsidP="001B11ED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Observation</w:t>
      </w:r>
      <w:r w:rsidRPr="00A3797F">
        <w:rPr>
          <w:rFonts w:ascii="Times New Roman" w:hAnsi="Times New Roman"/>
          <w:bCs/>
        </w:rPr>
        <w:t xml:space="preserve"> 1-1: All information </w:t>
      </w:r>
      <w:r w:rsidRPr="00821CC7">
        <w:rPr>
          <w:rFonts w:ascii="Times New Roman" w:hAnsi="Times New Roman"/>
          <w:bCs/>
        </w:rPr>
        <w:t xml:space="preserve">shared between </w:t>
      </w:r>
      <w:r>
        <w:rPr>
          <w:rFonts w:ascii="Times New Roman" w:hAnsi="Times New Roman"/>
          <w:bCs/>
        </w:rPr>
        <w:t xml:space="preserve">the </w:t>
      </w:r>
      <w:r w:rsidRPr="00821CC7">
        <w:rPr>
          <w:rFonts w:ascii="Times New Roman" w:hAnsi="Times New Roman"/>
          <w:bCs/>
        </w:rPr>
        <w:t>two logical DUs</w:t>
      </w:r>
      <w:r w:rsidRPr="00A3797F">
        <w:rPr>
          <w:rFonts w:ascii="Times New Roman" w:hAnsi="Times New Roman"/>
          <w:bCs/>
        </w:rPr>
        <w:t xml:space="preserve"> needs to be reported </w:t>
      </w:r>
      <w:r w:rsidR="001B11ED">
        <w:rPr>
          <w:rFonts w:ascii="Times New Roman" w:hAnsi="Times New Roman"/>
          <w:bCs/>
        </w:rPr>
        <w:t>by the target logical DU in the F1 Setup Request to the target donor</w:t>
      </w:r>
      <w:r w:rsidRPr="00A3797F">
        <w:rPr>
          <w:rFonts w:ascii="Times New Roman" w:hAnsi="Times New Roman"/>
          <w:bCs/>
        </w:rPr>
        <w:t xml:space="preserve">. </w:t>
      </w:r>
    </w:p>
    <w:p w14:paraId="1B127355" w14:textId="3E7CCD4B" w:rsidR="00536C49" w:rsidRPr="00A3797F" w:rsidRDefault="00821CC7" w:rsidP="001B11ED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Proposal 1</w:t>
      </w:r>
      <w:r w:rsidRPr="00A3797F">
        <w:rPr>
          <w:rFonts w:ascii="Times New Roman" w:hAnsi="Times New Roman"/>
          <w:bCs/>
        </w:rPr>
        <w:t xml:space="preserve">: </w:t>
      </w:r>
      <w:r>
        <w:rPr>
          <w:rFonts w:ascii="Times New Roman" w:hAnsi="Times New Roman"/>
          <w:bCs/>
        </w:rPr>
        <w:t xml:space="preserve">The </w:t>
      </w:r>
      <w:r w:rsidR="00536C49">
        <w:rPr>
          <w:rFonts w:ascii="Times New Roman" w:hAnsi="Times New Roman"/>
          <w:bCs/>
        </w:rPr>
        <w:t xml:space="preserve">two logical DUs to only </w:t>
      </w:r>
      <w:r w:rsidR="00536C49" w:rsidRPr="00821CC7">
        <w:rPr>
          <w:rFonts w:ascii="Times New Roman" w:hAnsi="Times New Roman"/>
          <w:bCs/>
        </w:rPr>
        <w:t>share</w:t>
      </w:r>
      <w:r w:rsidR="00536C49">
        <w:rPr>
          <w:rFonts w:ascii="Times New Roman" w:hAnsi="Times New Roman"/>
          <w:bCs/>
        </w:rPr>
        <w:t xml:space="preserve"> information that is reported by the target logical DU </w:t>
      </w:r>
      <w:r w:rsidR="001B11ED">
        <w:rPr>
          <w:rFonts w:ascii="Times New Roman" w:hAnsi="Times New Roman"/>
          <w:bCs/>
        </w:rPr>
        <w:t xml:space="preserve">in the F1 Setup Request </w:t>
      </w:r>
      <w:r w:rsidR="00536C49">
        <w:rPr>
          <w:rFonts w:ascii="Times New Roman" w:hAnsi="Times New Roman"/>
          <w:bCs/>
        </w:rPr>
        <w:t xml:space="preserve">to </w:t>
      </w:r>
      <w:r w:rsidR="001B11ED">
        <w:rPr>
          <w:rFonts w:ascii="Times New Roman" w:hAnsi="Times New Roman"/>
          <w:bCs/>
        </w:rPr>
        <w:t>the target</w:t>
      </w:r>
      <w:r w:rsidR="00536C49">
        <w:rPr>
          <w:rFonts w:ascii="Times New Roman" w:hAnsi="Times New Roman"/>
          <w:bCs/>
        </w:rPr>
        <w:t xml:space="preserve"> donor.</w:t>
      </w:r>
      <w:r w:rsidR="00536C49" w:rsidRPr="00A3797F">
        <w:rPr>
          <w:rFonts w:ascii="Times New Roman" w:hAnsi="Times New Roman"/>
          <w:bCs/>
        </w:rPr>
        <w:t xml:space="preserve"> </w:t>
      </w:r>
    </w:p>
    <w:p w14:paraId="5C56FC5B" w14:textId="2DDF50D5" w:rsidR="001F5368" w:rsidRDefault="001F5368" w:rsidP="00536C49">
      <w:pPr>
        <w:pStyle w:val="Agreement"/>
        <w:numPr>
          <w:ilvl w:val="0"/>
          <w:numId w:val="0"/>
        </w:numPr>
      </w:pPr>
    </w:p>
    <w:p w14:paraId="2365197D" w14:textId="77777777" w:rsidR="001F5368" w:rsidRPr="001F5368" w:rsidRDefault="001F5368" w:rsidP="001F5368"/>
    <w:p w14:paraId="395B1E25" w14:textId="1D7B2DEB" w:rsidR="001F5368" w:rsidRDefault="001F5368" w:rsidP="001F5368">
      <w:pPr>
        <w:pStyle w:val="Heading2"/>
      </w:pPr>
      <w:r w:rsidRPr="00320A6B">
        <w:lastRenderedPageBreak/>
        <w:t>2.</w:t>
      </w:r>
      <w:r>
        <w:t>2</w:t>
      </w:r>
      <w:r w:rsidRPr="00320A6B">
        <w:tab/>
      </w:r>
      <w:r w:rsidR="00696A0A" w:rsidRPr="00696A0A">
        <w:t>UE handover to target mobile IAB-node</w:t>
      </w:r>
    </w:p>
    <w:p w14:paraId="60C22BAF" w14:textId="25BE007E" w:rsidR="00F67B51" w:rsidRPr="00197AFD" w:rsidRDefault="00F67B51" w:rsidP="00197AFD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  <w:u w:val="single"/>
        </w:rPr>
      </w:pPr>
      <w:r w:rsidRPr="00197AFD">
        <w:rPr>
          <w:rFonts w:ascii="Times New Roman" w:hAnsi="Times New Roman"/>
          <w:bCs/>
          <w:u w:val="single"/>
        </w:rPr>
        <w:t>Issue 2: Whether the UE’s source CU knows that the target cell belongs to a mobile IAB-node</w:t>
      </w:r>
    </w:p>
    <w:p w14:paraId="6F78B3FB" w14:textId="02867FF2" w:rsidR="00B208EC" w:rsidRDefault="00197AFD" w:rsidP="00197AFD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In case</w:t>
      </w:r>
      <w:r w:rsidR="00B208EC">
        <w:rPr>
          <w:rFonts w:ascii="Times New Roman" w:hAnsi="Times New Roman"/>
          <w:b w:val="0"/>
        </w:rPr>
        <w:t xml:space="preserve"> the UE’s source </w:t>
      </w:r>
      <w:r w:rsidR="0025370E">
        <w:rPr>
          <w:rFonts w:ascii="Times New Roman" w:hAnsi="Times New Roman"/>
          <w:b w:val="0"/>
        </w:rPr>
        <w:t>CU</w:t>
      </w:r>
      <w:r w:rsidR="00B208EC">
        <w:rPr>
          <w:rFonts w:ascii="Times New Roman" w:hAnsi="Times New Roman"/>
          <w:b w:val="0"/>
        </w:rPr>
        <w:t xml:space="preserve"> knows that </w:t>
      </w:r>
      <w:r w:rsidR="0025370E">
        <w:rPr>
          <w:rFonts w:ascii="Times New Roman" w:hAnsi="Times New Roman"/>
          <w:b w:val="0"/>
        </w:rPr>
        <w:t>a target cell candidate</w:t>
      </w:r>
      <w:r w:rsidR="00B208EC">
        <w:rPr>
          <w:rFonts w:ascii="Times New Roman" w:hAnsi="Times New Roman"/>
          <w:b w:val="0"/>
        </w:rPr>
        <w:t xml:space="preserve"> </w:t>
      </w:r>
      <w:r w:rsidR="0025370E">
        <w:rPr>
          <w:rFonts w:ascii="Times New Roman" w:hAnsi="Times New Roman"/>
          <w:b w:val="0"/>
        </w:rPr>
        <w:t>belongs to a</w:t>
      </w:r>
      <w:r w:rsidR="00B208EC">
        <w:rPr>
          <w:rFonts w:ascii="Times New Roman" w:hAnsi="Times New Roman"/>
          <w:b w:val="0"/>
        </w:rPr>
        <w:t xml:space="preserve"> mobile </w:t>
      </w:r>
      <w:r w:rsidR="0025370E">
        <w:rPr>
          <w:rFonts w:ascii="Times New Roman" w:hAnsi="Times New Roman"/>
          <w:b w:val="0"/>
        </w:rPr>
        <w:t>IAB-node</w:t>
      </w:r>
      <w:r w:rsidR="00B208EC">
        <w:rPr>
          <w:rFonts w:ascii="Times New Roman" w:hAnsi="Times New Roman"/>
          <w:b w:val="0"/>
        </w:rPr>
        <w:t>, it can apply more intelligent handover decisions</w:t>
      </w:r>
      <w:r w:rsidR="000B3277">
        <w:rPr>
          <w:rFonts w:ascii="Times New Roman" w:hAnsi="Times New Roman"/>
          <w:b w:val="0"/>
        </w:rPr>
        <w:t>, e.g., based on the UE’s source cell location or the UE’s mobility status</w:t>
      </w:r>
      <w:r w:rsidR="00B208EC">
        <w:rPr>
          <w:rFonts w:ascii="Times New Roman" w:hAnsi="Times New Roman"/>
          <w:b w:val="0"/>
        </w:rPr>
        <w:t xml:space="preserve">. </w:t>
      </w:r>
    </w:p>
    <w:p w14:paraId="3323B23E" w14:textId="5837B406" w:rsidR="0025370E" w:rsidRPr="0025370E" w:rsidRDefault="0025370E" w:rsidP="00197AFD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 w:val="0"/>
        </w:rPr>
      </w:pPr>
      <w:r w:rsidRPr="0025370E">
        <w:rPr>
          <w:rFonts w:ascii="Times New Roman" w:hAnsi="Times New Roman"/>
          <w:b w:val="0"/>
        </w:rPr>
        <w:t>Examples:</w:t>
      </w:r>
    </w:p>
    <w:p w14:paraId="2416CCDB" w14:textId="159F808C" w:rsidR="000B3277" w:rsidRPr="000B3277" w:rsidRDefault="000B3277" w:rsidP="00197AFD">
      <w:pPr>
        <w:pStyle w:val="Agreement"/>
        <w:numPr>
          <w:ilvl w:val="0"/>
          <w:numId w:val="36"/>
        </w:numPr>
        <w:spacing w:before="0" w:after="120"/>
        <w:rPr>
          <w:rFonts w:ascii="Times New Roman" w:hAnsi="Times New Roman"/>
          <w:b w:val="0"/>
          <w:bCs/>
        </w:rPr>
      </w:pPr>
      <w:r w:rsidRPr="000B3277">
        <w:rPr>
          <w:rFonts w:ascii="Times New Roman" w:hAnsi="Times New Roman"/>
          <w:b w:val="0"/>
          <w:bCs/>
        </w:rPr>
        <w:t>In case</w:t>
      </w:r>
      <w:r w:rsidR="00B208EC" w:rsidRPr="000B3277">
        <w:rPr>
          <w:rFonts w:ascii="Times New Roman" w:hAnsi="Times New Roman"/>
          <w:b w:val="0"/>
          <w:bCs/>
        </w:rPr>
        <w:t xml:space="preserve"> the UE’s source cell is</w:t>
      </w:r>
      <w:r w:rsidRPr="000B3277">
        <w:rPr>
          <w:rFonts w:ascii="Times New Roman" w:hAnsi="Times New Roman"/>
          <w:b w:val="0"/>
          <w:bCs/>
        </w:rPr>
        <w:t xml:space="preserve"> known to cover</w:t>
      </w:r>
      <w:r w:rsidR="00B208EC" w:rsidRPr="000B3277">
        <w:rPr>
          <w:rFonts w:ascii="Times New Roman" w:hAnsi="Times New Roman"/>
          <w:b w:val="0"/>
          <w:bCs/>
        </w:rPr>
        <w:t xml:space="preserve"> a bus stop or train station, </w:t>
      </w:r>
      <w:r w:rsidRPr="000B3277">
        <w:rPr>
          <w:rFonts w:ascii="Times New Roman" w:hAnsi="Times New Roman"/>
          <w:b w:val="0"/>
          <w:bCs/>
        </w:rPr>
        <w:t xml:space="preserve">the </w:t>
      </w:r>
      <w:r>
        <w:rPr>
          <w:rFonts w:ascii="Times New Roman" w:hAnsi="Times New Roman"/>
          <w:b w:val="0"/>
          <w:bCs/>
        </w:rPr>
        <w:t>UE may be entering a vehicle holding the target cell and a handover should be supported.</w:t>
      </w:r>
    </w:p>
    <w:p w14:paraId="73662C8D" w14:textId="173255BC" w:rsidR="000B3277" w:rsidRDefault="000B3277" w:rsidP="00197AFD">
      <w:pPr>
        <w:pStyle w:val="Agreement"/>
        <w:numPr>
          <w:ilvl w:val="0"/>
          <w:numId w:val="36"/>
        </w:numPr>
        <w:spacing w:before="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In case the UE’s source cell is known to cover an area outside a bus stop or train station area, e.g., an area of a highway, the UE may just happen to move </w:t>
      </w:r>
      <w:r w:rsidR="00197AFD">
        <w:rPr>
          <w:rFonts w:ascii="Times New Roman" w:hAnsi="Times New Roman"/>
          <w:b w:val="0"/>
        </w:rPr>
        <w:t>side by</w:t>
      </w:r>
      <w:r>
        <w:rPr>
          <w:rFonts w:ascii="Times New Roman" w:hAnsi="Times New Roman"/>
          <w:b w:val="0"/>
        </w:rPr>
        <w:t xml:space="preserve"> side with the vehicle </w:t>
      </w:r>
      <w:r w:rsidR="00197AFD">
        <w:rPr>
          <w:rFonts w:ascii="Times New Roman" w:hAnsi="Times New Roman"/>
          <w:b w:val="0"/>
        </w:rPr>
        <w:t>holding</w:t>
      </w:r>
      <w:r>
        <w:rPr>
          <w:rFonts w:ascii="Times New Roman" w:hAnsi="Times New Roman"/>
          <w:b w:val="0"/>
        </w:rPr>
        <w:t xml:space="preserve"> the mobile </w:t>
      </w:r>
      <w:r w:rsidR="00197AFD">
        <w:rPr>
          <w:rFonts w:ascii="Times New Roman" w:hAnsi="Times New Roman"/>
          <w:b w:val="0"/>
        </w:rPr>
        <w:t>IAB-</w:t>
      </w:r>
      <w:r>
        <w:rPr>
          <w:rFonts w:ascii="Times New Roman" w:hAnsi="Times New Roman"/>
          <w:b w:val="0"/>
        </w:rPr>
        <w:t xml:space="preserve">cell, and a handover may not be </w:t>
      </w:r>
      <w:r w:rsidR="00197AFD">
        <w:rPr>
          <w:rFonts w:ascii="Times New Roman" w:hAnsi="Times New Roman"/>
          <w:b w:val="0"/>
        </w:rPr>
        <w:t>appropriate</w:t>
      </w:r>
      <w:r>
        <w:rPr>
          <w:rFonts w:ascii="Times New Roman" w:hAnsi="Times New Roman"/>
          <w:b w:val="0"/>
        </w:rPr>
        <w:t>.</w:t>
      </w:r>
    </w:p>
    <w:p w14:paraId="6E783B6C" w14:textId="4415D9D6" w:rsidR="000B3277" w:rsidRDefault="000B3277" w:rsidP="00197AFD">
      <w:pPr>
        <w:pStyle w:val="Agreement"/>
        <w:numPr>
          <w:ilvl w:val="0"/>
          <w:numId w:val="36"/>
        </w:numPr>
        <w:spacing w:before="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In case the UE is in low mobility state, it </w:t>
      </w:r>
      <w:r w:rsidR="00197AFD">
        <w:rPr>
          <w:rFonts w:ascii="Times New Roman" w:hAnsi="Times New Roman"/>
          <w:b w:val="0"/>
        </w:rPr>
        <w:t>may</w:t>
      </w:r>
      <w:r>
        <w:rPr>
          <w:rFonts w:ascii="Times New Roman" w:hAnsi="Times New Roman"/>
          <w:b w:val="0"/>
        </w:rPr>
        <w:t xml:space="preserve"> enter a vehicle </w:t>
      </w:r>
      <w:r w:rsidR="00197AFD">
        <w:rPr>
          <w:rFonts w:ascii="Times New Roman" w:hAnsi="Times New Roman"/>
          <w:b w:val="0"/>
        </w:rPr>
        <w:t>holding the</w:t>
      </w:r>
      <w:r>
        <w:rPr>
          <w:rFonts w:ascii="Times New Roman" w:hAnsi="Times New Roman"/>
          <w:b w:val="0"/>
        </w:rPr>
        <w:t xml:space="preserve"> mobile</w:t>
      </w:r>
      <w:r w:rsidR="00197AFD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IAB</w:t>
      </w:r>
      <w:r w:rsidR="00197AFD">
        <w:rPr>
          <w:rFonts w:ascii="Times New Roman" w:hAnsi="Times New Roman"/>
          <w:b w:val="0"/>
        </w:rPr>
        <w:t>-</w:t>
      </w:r>
      <w:r>
        <w:rPr>
          <w:rFonts w:ascii="Times New Roman" w:hAnsi="Times New Roman"/>
          <w:b w:val="0"/>
        </w:rPr>
        <w:t xml:space="preserve">cell, and a handover </w:t>
      </w:r>
      <w:r w:rsidR="00197AFD">
        <w:rPr>
          <w:rFonts w:ascii="Times New Roman" w:hAnsi="Times New Roman"/>
          <w:b w:val="0"/>
        </w:rPr>
        <w:t>can</w:t>
      </w:r>
      <w:r>
        <w:rPr>
          <w:rFonts w:ascii="Times New Roman" w:hAnsi="Times New Roman"/>
          <w:b w:val="0"/>
        </w:rPr>
        <w:t xml:space="preserve"> be supported.</w:t>
      </w:r>
    </w:p>
    <w:p w14:paraId="43DB0017" w14:textId="5B91619E" w:rsidR="000B3277" w:rsidRDefault="000B3277" w:rsidP="00197AFD">
      <w:pPr>
        <w:pStyle w:val="Agreement"/>
        <w:numPr>
          <w:ilvl w:val="0"/>
          <w:numId w:val="36"/>
        </w:numPr>
        <w:spacing w:before="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In case the UE is in high mobility state, it is unlikely to enter a vehicle </w:t>
      </w:r>
      <w:r w:rsidR="00197AFD">
        <w:rPr>
          <w:rFonts w:ascii="Times New Roman" w:hAnsi="Times New Roman"/>
          <w:b w:val="0"/>
        </w:rPr>
        <w:t>holding a</w:t>
      </w:r>
      <w:r>
        <w:rPr>
          <w:rFonts w:ascii="Times New Roman" w:hAnsi="Times New Roman"/>
          <w:b w:val="0"/>
        </w:rPr>
        <w:t xml:space="preserve"> mobile-IAB cell, and a handover may not be </w:t>
      </w:r>
      <w:r w:rsidR="00197AFD">
        <w:rPr>
          <w:rFonts w:ascii="Times New Roman" w:hAnsi="Times New Roman"/>
          <w:b w:val="0"/>
        </w:rPr>
        <w:t>appropriate</w:t>
      </w:r>
      <w:r>
        <w:rPr>
          <w:rFonts w:ascii="Times New Roman" w:hAnsi="Times New Roman"/>
          <w:b w:val="0"/>
        </w:rPr>
        <w:t>.</w:t>
      </w:r>
    </w:p>
    <w:p w14:paraId="211E1A9A" w14:textId="7915DAD6" w:rsidR="000B3277" w:rsidRPr="000B3277" w:rsidRDefault="000B3277" w:rsidP="00197AFD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 w:rsidRPr="000B3277">
        <w:rPr>
          <w:rFonts w:ascii="Times New Roman" w:hAnsi="Times New Roman"/>
          <w:bCs/>
        </w:rPr>
        <w:t>Observations 2</w:t>
      </w:r>
      <w:r w:rsidR="0025370E">
        <w:rPr>
          <w:rFonts w:ascii="Times New Roman" w:hAnsi="Times New Roman"/>
          <w:bCs/>
        </w:rPr>
        <w:t>-1</w:t>
      </w:r>
      <w:r w:rsidRPr="000B3277">
        <w:rPr>
          <w:rFonts w:ascii="Times New Roman" w:hAnsi="Times New Roman"/>
          <w:bCs/>
        </w:rPr>
        <w:t xml:space="preserve">: The UE’s CU can perform more intelligent handover decisions if it knows that a candidate target cell belongs to a mobile IAB-node.   </w:t>
      </w:r>
    </w:p>
    <w:p w14:paraId="035DD4B5" w14:textId="77777777" w:rsidR="00197AFD" w:rsidRDefault="00197AFD" w:rsidP="00197AFD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 w:val="0"/>
        </w:rPr>
      </w:pPr>
    </w:p>
    <w:p w14:paraId="68048430" w14:textId="4D990B93" w:rsidR="000B3277" w:rsidRDefault="0025370E" w:rsidP="00197AFD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UE’s CU may further apply different policies </w:t>
      </w:r>
      <w:r w:rsidR="00197AFD">
        <w:rPr>
          <w:rFonts w:ascii="Times New Roman" w:hAnsi="Times New Roman"/>
          <w:b w:val="0"/>
        </w:rPr>
        <w:t xml:space="preserve">the establishing of dual connectivity </w:t>
      </w:r>
      <w:r>
        <w:rPr>
          <w:rFonts w:ascii="Times New Roman" w:hAnsi="Times New Roman"/>
          <w:b w:val="0"/>
        </w:rPr>
        <w:t xml:space="preserve">for </w:t>
      </w:r>
      <w:r w:rsidR="00197AFD">
        <w:rPr>
          <w:rFonts w:ascii="Times New Roman" w:hAnsi="Times New Roman"/>
          <w:b w:val="0"/>
        </w:rPr>
        <w:t xml:space="preserve">a UE in case it knows that the candidate cell is a mobile IAB-cell or a stationary cell. In </w:t>
      </w:r>
      <w:proofErr w:type="gramStart"/>
      <w:r w:rsidR="00197AFD">
        <w:rPr>
          <w:rFonts w:ascii="Times New Roman" w:hAnsi="Times New Roman"/>
          <w:b w:val="0"/>
        </w:rPr>
        <w:t>may</w:t>
      </w:r>
      <w:proofErr w:type="gramEnd"/>
      <w:r w:rsidR="00197AFD">
        <w:rPr>
          <w:rFonts w:ascii="Times New Roman" w:hAnsi="Times New Roman"/>
          <w:b w:val="0"/>
        </w:rPr>
        <w:t xml:space="preserve"> scenarios, supporting DC between stationary CG and mobile IAB-CG may not be desirable. </w:t>
      </w:r>
    </w:p>
    <w:p w14:paraId="255D908A" w14:textId="696CE8E0" w:rsidR="0025370E" w:rsidRPr="000B3277" w:rsidRDefault="0025370E" w:rsidP="00197AFD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 w:rsidRPr="000B3277">
        <w:rPr>
          <w:rFonts w:ascii="Times New Roman" w:hAnsi="Times New Roman"/>
          <w:bCs/>
        </w:rPr>
        <w:t>Observations 2</w:t>
      </w:r>
      <w:r>
        <w:rPr>
          <w:rFonts w:ascii="Times New Roman" w:hAnsi="Times New Roman"/>
          <w:bCs/>
        </w:rPr>
        <w:t>-2</w:t>
      </w:r>
      <w:r w:rsidRPr="000B3277">
        <w:rPr>
          <w:rFonts w:ascii="Times New Roman" w:hAnsi="Times New Roman"/>
          <w:bCs/>
        </w:rPr>
        <w:t xml:space="preserve">: The UE’s CU can </w:t>
      </w:r>
      <w:r w:rsidR="00197AFD">
        <w:rPr>
          <w:rFonts w:ascii="Times New Roman" w:hAnsi="Times New Roman"/>
          <w:bCs/>
        </w:rPr>
        <w:t xml:space="preserve">apply differentiated </w:t>
      </w:r>
      <w:r>
        <w:rPr>
          <w:rFonts w:ascii="Times New Roman" w:hAnsi="Times New Roman"/>
          <w:bCs/>
        </w:rPr>
        <w:t xml:space="preserve">policies for the establishment of </w:t>
      </w:r>
      <w:r w:rsidR="00197AFD">
        <w:rPr>
          <w:rFonts w:ascii="Times New Roman" w:hAnsi="Times New Roman"/>
          <w:bCs/>
        </w:rPr>
        <w:t>dual connectivity</w:t>
      </w:r>
      <w:r w:rsidRPr="000B3277">
        <w:rPr>
          <w:rFonts w:ascii="Times New Roman" w:hAnsi="Times New Roman"/>
          <w:bCs/>
        </w:rPr>
        <w:t xml:space="preserve"> </w:t>
      </w:r>
      <w:r w:rsidR="00197AFD">
        <w:rPr>
          <w:rFonts w:ascii="Times New Roman" w:hAnsi="Times New Roman"/>
          <w:bCs/>
        </w:rPr>
        <w:t>in case</w:t>
      </w:r>
      <w:r w:rsidRPr="000B3277">
        <w:rPr>
          <w:rFonts w:ascii="Times New Roman" w:hAnsi="Times New Roman"/>
          <w:bCs/>
        </w:rPr>
        <w:t xml:space="preserve"> it knows that </w:t>
      </w:r>
      <w:r>
        <w:rPr>
          <w:rFonts w:ascii="Times New Roman" w:hAnsi="Times New Roman"/>
          <w:bCs/>
        </w:rPr>
        <w:t>the</w:t>
      </w:r>
      <w:r w:rsidRPr="000B3277">
        <w:rPr>
          <w:rFonts w:ascii="Times New Roman" w:hAnsi="Times New Roman"/>
          <w:bCs/>
        </w:rPr>
        <w:t xml:space="preserve"> candidate cell belongs to a mobile IAB-node</w:t>
      </w:r>
      <w:r w:rsidR="00197AFD">
        <w:rPr>
          <w:rFonts w:ascii="Times New Roman" w:hAnsi="Times New Roman"/>
          <w:bCs/>
        </w:rPr>
        <w:t xml:space="preserve"> vs. a stationary node</w:t>
      </w:r>
      <w:r w:rsidRPr="000B3277">
        <w:rPr>
          <w:rFonts w:ascii="Times New Roman" w:hAnsi="Times New Roman"/>
          <w:bCs/>
        </w:rPr>
        <w:t xml:space="preserve">.   </w:t>
      </w:r>
    </w:p>
    <w:p w14:paraId="143791BE" w14:textId="5C0BA298" w:rsidR="005C5D9D" w:rsidRDefault="005C5D9D" w:rsidP="00197AFD">
      <w:pPr>
        <w:spacing w:after="120"/>
      </w:pPr>
    </w:p>
    <w:p w14:paraId="45698AB8" w14:textId="2A56C35D" w:rsidR="0025370E" w:rsidRDefault="0025370E" w:rsidP="00197AFD">
      <w:pPr>
        <w:spacing w:after="120"/>
      </w:pPr>
      <w:r>
        <w:t xml:space="preserve">The CU should know whether a cell belongs to a mobile IAB-node before it decides to perform handover preparation or SN addition. Further, since the “mobile IAB” status is </w:t>
      </w:r>
      <w:r w:rsidR="00531227">
        <w:t>the cell’s</w:t>
      </w:r>
      <w:r>
        <w:t xml:space="preserve"> permanent attribute</w:t>
      </w:r>
      <w:r w:rsidR="00531227">
        <w:t xml:space="preserve">, </w:t>
      </w:r>
      <w:r>
        <w:t xml:space="preserve">it should be included in the </w:t>
      </w:r>
      <w:proofErr w:type="spellStart"/>
      <w:r>
        <w:t>Xn</w:t>
      </w:r>
      <w:proofErr w:type="spellEnd"/>
      <w:r>
        <w:t xml:space="preserve"> </w:t>
      </w:r>
      <w:r w:rsidR="00A61F80">
        <w:t xml:space="preserve">SETUP procedures and/or </w:t>
      </w:r>
      <w:proofErr w:type="spellStart"/>
      <w:r w:rsidR="00A61F80">
        <w:t>Xn</w:t>
      </w:r>
      <w:proofErr w:type="spellEnd"/>
      <w:r w:rsidR="00A61F80">
        <w:t xml:space="preserve"> RAN NODE CONFIGURATION UPDATE procedures.</w:t>
      </w:r>
    </w:p>
    <w:p w14:paraId="6B69856B" w14:textId="439C65B9" w:rsidR="00A61F80" w:rsidRPr="000B3277" w:rsidRDefault="00A61F80" w:rsidP="00197AFD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 w:rsidRPr="000B3277">
        <w:rPr>
          <w:rFonts w:ascii="Times New Roman" w:hAnsi="Times New Roman"/>
          <w:bCs/>
        </w:rPr>
        <w:t>Observations 2</w:t>
      </w:r>
      <w:r>
        <w:rPr>
          <w:rFonts w:ascii="Times New Roman" w:hAnsi="Times New Roman"/>
          <w:bCs/>
        </w:rPr>
        <w:t>-3</w:t>
      </w:r>
      <w:r w:rsidRPr="000B3277">
        <w:rPr>
          <w:rFonts w:ascii="Times New Roman" w:hAnsi="Times New Roman"/>
          <w:bCs/>
        </w:rPr>
        <w:t xml:space="preserve">: The UE’s CU </w:t>
      </w:r>
      <w:r>
        <w:rPr>
          <w:rFonts w:ascii="Times New Roman" w:hAnsi="Times New Roman"/>
          <w:bCs/>
        </w:rPr>
        <w:t>needs to know whether the target cell candidate belongs to a mobile IAB-node before making decisions on handover of SN addition</w:t>
      </w:r>
      <w:r w:rsidRPr="000B3277">
        <w:rPr>
          <w:rFonts w:ascii="Times New Roman" w:hAnsi="Times New Roman"/>
          <w:bCs/>
        </w:rPr>
        <w:t xml:space="preserve">.   </w:t>
      </w:r>
    </w:p>
    <w:p w14:paraId="6F24F81A" w14:textId="63AD0C8B" w:rsidR="0025370E" w:rsidRDefault="0025370E" w:rsidP="00197AFD">
      <w:pPr>
        <w:spacing w:after="120"/>
      </w:pPr>
    </w:p>
    <w:p w14:paraId="6EF2B644" w14:textId="2C07CDF1" w:rsidR="00A61F80" w:rsidRPr="000B3277" w:rsidRDefault="00A61F80" w:rsidP="00197AFD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Proposal 2</w:t>
      </w:r>
      <w:r w:rsidRPr="000B3277">
        <w:rPr>
          <w:rFonts w:ascii="Times New Roman" w:hAnsi="Times New Roman"/>
          <w:bCs/>
        </w:rPr>
        <w:t xml:space="preserve">: The </w:t>
      </w:r>
      <w:r>
        <w:rPr>
          <w:rFonts w:ascii="Times New Roman" w:hAnsi="Times New Roman"/>
          <w:bCs/>
        </w:rPr>
        <w:t xml:space="preserve">“mobile IAB” indication to be included into the </w:t>
      </w:r>
      <w:proofErr w:type="spellStart"/>
      <w:r w:rsidRPr="00A61F80">
        <w:rPr>
          <w:rFonts w:ascii="Times New Roman" w:hAnsi="Times New Roman"/>
          <w:bCs/>
        </w:rPr>
        <w:t>Xn</w:t>
      </w:r>
      <w:proofErr w:type="spellEnd"/>
      <w:r w:rsidRPr="00A61F80">
        <w:rPr>
          <w:rFonts w:ascii="Times New Roman" w:hAnsi="Times New Roman"/>
          <w:bCs/>
        </w:rPr>
        <w:t xml:space="preserve"> SETUP procedures and</w:t>
      </w:r>
      <w:r>
        <w:rPr>
          <w:rFonts w:ascii="Times New Roman" w:hAnsi="Times New Roman"/>
          <w:bCs/>
        </w:rPr>
        <w:t xml:space="preserve"> </w:t>
      </w:r>
      <w:proofErr w:type="spellStart"/>
      <w:r w:rsidRPr="00A61F80">
        <w:rPr>
          <w:rFonts w:ascii="Times New Roman" w:hAnsi="Times New Roman"/>
          <w:bCs/>
        </w:rPr>
        <w:t>Xn</w:t>
      </w:r>
      <w:proofErr w:type="spellEnd"/>
      <w:r w:rsidRPr="00A61F80">
        <w:rPr>
          <w:rFonts w:ascii="Times New Roman" w:hAnsi="Times New Roman"/>
          <w:bCs/>
        </w:rPr>
        <w:t xml:space="preserve"> RAN NODE CONFIGURATION UPDATE procedures</w:t>
      </w:r>
      <w:r>
        <w:rPr>
          <w:rFonts w:ascii="Times New Roman" w:hAnsi="Times New Roman"/>
          <w:bCs/>
        </w:rPr>
        <w:t xml:space="preserve"> </w:t>
      </w:r>
      <w:r w:rsidR="00507F9C">
        <w:rPr>
          <w:rFonts w:ascii="Times New Roman" w:hAnsi="Times New Roman"/>
          <w:bCs/>
        </w:rPr>
        <w:t xml:space="preserve">so that the UE’s CU can apply differentiated HO and DC policies when the </w:t>
      </w:r>
      <w:r w:rsidR="009347C5">
        <w:rPr>
          <w:rFonts w:ascii="Times New Roman" w:hAnsi="Times New Roman"/>
          <w:bCs/>
        </w:rPr>
        <w:t xml:space="preserve">candidate </w:t>
      </w:r>
      <w:r w:rsidR="00507F9C">
        <w:rPr>
          <w:rFonts w:ascii="Times New Roman" w:hAnsi="Times New Roman"/>
          <w:bCs/>
        </w:rPr>
        <w:t>target cell belongs to a mobile IAB-node</w:t>
      </w:r>
      <w:r w:rsidRPr="000B3277">
        <w:rPr>
          <w:rFonts w:ascii="Times New Roman" w:hAnsi="Times New Roman"/>
          <w:bCs/>
        </w:rPr>
        <w:t xml:space="preserve">.   </w:t>
      </w:r>
    </w:p>
    <w:p w14:paraId="080F8A5F" w14:textId="573C094B" w:rsidR="0025370E" w:rsidRDefault="0025370E" w:rsidP="00197AFD">
      <w:pPr>
        <w:spacing w:after="120"/>
      </w:pPr>
    </w:p>
    <w:p w14:paraId="1B0B0B3B" w14:textId="366048DA" w:rsidR="001F5368" w:rsidRDefault="001F5368" w:rsidP="001F5368">
      <w:pPr>
        <w:pStyle w:val="Heading2"/>
      </w:pPr>
      <w:r w:rsidRPr="00320A6B">
        <w:t>2.</w:t>
      </w:r>
      <w:r w:rsidR="00696A0A">
        <w:t>3</w:t>
      </w:r>
      <w:r w:rsidRPr="00320A6B">
        <w:tab/>
      </w:r>
      <w:r w:rsidR="009971DB">
        <w:t xml:space="preserve">UE </w:t>
      </w:r>
      <w:r w:rsidR="00220564">
        <w:t>l</w:t>
      </w:r>
      <w:r>
        <w:t>ocation info</w:t>
      </w:r>
    </w:p>
    <w:p w14:paraId="195212C3" w14:textId="3B42F277" w:rsidR="00E568B2" w:rsidRDefault="00E568B2" w:rsidP="00696A0A">
      <w:pPr>
        <w:pStyle w:val="Agreement"/>
        <w:numPr>
          <w:ilvl w:val="0"/>
          <w:numId w:val="0"/>
        </w:numPr>
        <w:ind w:left="360" w:hanging="36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For the UE’s location info, NCGI, </w:t>
      </w:r>
      <w:r w:rsidR="009347C5">
        <w:rPr>
          <w:rFonts w:ascii="Times New Roman" w:hAnsi="Times New Roman"/>
          <w:b w:val="0"/>
        </w:rPr>
        <w:t xml:space="preserve">TAC and </w:t>
      </w:r>
      <w:r>
        <w:rPr>
          <w:rFonts w:ascii="Times New Roman" w:hAnsi="Times New Roman"/>
          <w:b w:val="0"/>
        </w:rPr>
        <w:t>RANAC need to be considered.</w:t>
      </w:r>
    </w:p>
    <w:p w14:paraId="47EC11F0" w14:textId="4678FE7A" w:rsidR="00E568B2" w:rsidRDefault="00E568B2" w:rsidP="00E568B2">
      <w:pPr>
        <w:pStyle w:val="Doc-text2"/>
      </w:pPr>
    </w:p>
    <w:p w14:paraId="2AC76371" w14:textId="7C0680A2" w:rsidR="00E568B2" w:rsidRPr="00E568B2" w:rsidRDefault="00E568B2" w:rsidP="006C4F2C">
      <w:pPr>
        <w:pStyle w:val="Doc-text2"/>
        <w:spacing w:after="120"/>
        <w:ind w:left="360" w:hanging="360"/>
        <w:rPr>
          <w:rFonts w:ascii="Times New Roman" w:hAnsi="Times New Roman"/>
          <w:b/>
          <w:bCs/>
          <w:u w:val="single"/>
        </w:rPr>
      </w:pPr>
      <w:r w:rsidRPr="00E568B2">
        <w:rPr>
          <w:rFonts w:ascii="Times New Roman" w:hAnsi="Times New Roman"/>
          <w:b/>
          <w:bCs/>
          <w:u w:val="single"/>
        </w:rPr>
        <w:t>Issue 3: NCGI</w:t>
      </w:r>
      <w:r>
        <w:rPr>
          <w:rFonts w:ascii="Times New Roman" w:hAnsi="Times New Roman"/>
          <w:b/>
          <w:bCs/>
          <w:u w:val="single"/>
        </w:rPr>
        <w:t xml:space="preserve"> configuration during inter-donor DU migration</w:t>
      </w:r>
    </w:p>
    <w:p w14:paraId="1B645DC7" w14:textId="77777777" w:rsidR="00E568B2" w:rsidRPr="00E568B2" w:rsidRDefault="00E568B2" w:rsidP="00E568B2">
      <w:pPr>
        <w:pStyle w:val="Doc-text2"/>
        <w:ind w:left="363"/>
      </w:pPr>
    </w:p>
    <w:p w14:paraId="0FE49B07" w14:textId="6CA89655" w:rsidR="009725F8" w:rsidRDefault="009725F8" w:rsidP="009725F8">
      <w:r w:rsidRPr="009725F8">
        <w:t xml:space="preserve">For a stationary network, </w:t>
      </w:r>
      <w:r w:rsidR="009347C5">
        <w:t xml:space="preserve">the </w:t>
      </w:r>
      <w:r w:rsidR="009347C5" w:rsidRPr="009725F8">
        <w:t>cell</w:t>
      </w:r>
      <w:r w:rsidR="009347C5">
        <w:t>’s</w:t>
      </w:r>
      <w:r w:rsidR="009347C5" w:rsidRPr="009725F8">
        <w:t xml:space="preserve"> </w:t>
      </w:r>
      <w:r w:rsidRPr="009725F8">
        <w:t xml:space="preserve">NCGI is OAM-configured. For mobile IAB, the cell’s NCGI </w:t>
      </w:r>
      <w:proofErr w:type="gramStart"/>
      <w:r w:rsidRPr="009725F8">
        <w:t>has to</w:t>
      </w:r>
      <w:proofErr w:type="gramEnd"/>
      <w:r w:rsidRPr="009725F8">
        <w:t xml:space="preserve"> change during </w:t>
      </w:r>
      <w:r>
        <w:t xml:space="preserve">inter-donor DU migration. </w:t>
      </w:r>
      <w:r w:rsidR="009347C5">
        <w:t>The problem arises how the NCGI is configured on the target logical IAB-DU’s cell during DU migration. The following two options can be considered</w:t>
      </w:r>
      <w:r>
        <w:t>:</w:t>
      </w:r>
    </w:p>
    <w:p w14:paraId="19A6C228" w14:textId="1548C1D5" w:rsidR="009725F8" w:rsidRDefault="009725F8" w:rsidP="009725F8">
      <w:r w:rsidRPr="009725F8">
        <w:rPr>
          <w:b/>
          <w:bCs/>
        </w:rPr>
        <w:t>Option A:</w:t>
      </w:r>
      <w:r>
        <w:t xml:space="preserve"> The target logical IAB-DU’s cell is configured by OAM</w:t>
      </w:r>
      <w:r w:rsidR="009347C5">
        <w:t xml:space="preserve"> and activated</w:t>
      </w:r>
      <w:r w:rsidR="00FA0BF6">
        <w:t>, e.g., based on parent-node broadcast information.</w:t>
      </w:r>
    </w:p>
    <w:p w14:paraId="535FB826" w14:textId="34F19A37" w:rsidR="009725F8" w:rsidRDefault="009725F8" w:rsidP="009725F8">
      <w:r w:rsidRPr="009725F8">
        <w:rPr>
          <w:b/>
          <w:bCs/>
        </w:rPr>
        <w:t>Option B:</w:t>
      </w:r>
      <w:r>
        <w:t xml:space="preserve"> The target logical IAB-DU’s cell is configured by the target CU-CP</w:t>
      </w:r>
      <w:r w:rsidR="009347C5">
        <w:t xml:space="preserve">, e.g., </w:t>
      </w:r>
      <w:r w:rsidR="00FA0BF6">
        <w:t>during F1 setup.</w:t>
      </w:r>
    </w:p>
    <w:p w14:paraId="0A99B1B1" w14:textId="3E282A19" w:rsidR="00FA0BF6" w:rsidRDefault="00FA0BF6" w:rsidP="009725F8">
      <w:r>
        <w:t xml:space="preserve">For </w:t>
      </w:r>
      <w:r w:rsidR="00CA53E7">
        <w:t>O</w:t>
      </w:r>
      <w:r>
        <w:t xml:space="preserve">ption A, the IAB-DU could be configured with a lookup table between parent-node’s cell ID and IAB-DU-cell’s NCGI. This solution is not scalable to use cases, where the vehicle </w:t>
      </w:r>
      <w:r w:rsidR="00323879">
        <w:t>holding t</w:t>
      </w:r>
      <w:r>
        <w:t xml:space="preserve">he mobile IAB-node may travel over large areas. It is also not practical since the lookup tables of a potentially large number of mobile IAB-nodes would have to </w:t>
      </w:r>
      <w:r>
        <w:lastRenderedPageBreak/>
        <w:t xml:space="preserve">be reconfigured </w:t>
      </w:r>
      <w:r w:rsidR="00323879">
        <w:t>whenever</w:t>
      </w:r>
      <w:r>
        <w:t xml:space="preserve"> the cell ID of a parent node</w:t>
      </w:r>
      <w:r w:rsidR="00323879">
        <w:t xml:space="preserve"> has</w:t>
      </w:r>
      <w:r>
        <w:t xml:space="preserve"> changed, or a new parent node </w:t>
      </w:r>
      <w:r w:rsidR="00323879">
        <w:t>has been integrated into the network</w:t>
      </w:r>
      <w:r>
        <w:t>.</w:t>
      </w:r>
    </w:p>
    <w:p w14:paraId="65AA6904" w14:textId="32986308" w:rsidR="00FA0BF6" w:rsidRPr="003A2637" w:rsidRDefault="003A2637" w:rsidP="009725F8">
      <w:pPr>
        <w:rPr>
          <w:b/>
          <w:bCs/>
        </w:rPr>
      </w:pPr>
      <w:r w:rsidRPr="003A2637">
        <w:rPr>
          <w:b/>
          <w:bCs/>
        </w:rPr>
        <w:t xml:space="preserve">Observation 3-1: OAM-based configuration of the </w:t>
      </w:r>
      <w:r w:rsidR="00CA53E7">
        <w:rPr>
          <w:b/>
          <w:bCs/>
        </w:rPr>
        <w:t xml:space="preserve">target logical </w:t>
      </w:r>
      <w:r w:rsidRPr="003A2637">
        <w:rPr>
          <w:b/>
          <w:bCs/>
        </w:rPr>
        <w:t>DU</w:t>
      </w:r>
      <w:r>
        <w:rPr>
          <w:b/>
          <w:bCs/>
        </w:rPr>
        <w:t>’s</w:t>
      </w:r>
      <w:r w:rsidRPr="003A2637">
        <w:rPr>
          <w:b/>
          <w:bCs/>
        </w:rPr>
        <w:t xml:space="preserve"> NCGI is </w:t>
      </w:r>
      <w:r w:rsidR="00CA53E7">
        <w:rPr>
          <w:b/>
          <w:bCs/>
        </w:rPr>
        <w:t>im</w:t>
      </w:r>
      <w:r w:rsidRPr="003A2637">
        <w:rPr>
          <w:b/>
          <w:bCs/>
        </w:rPr>
        <w:t xml:space="preserve">practical as it does not scale </w:t>
      </w:r>
      <w:r w:rsidR="00725FF3">
        <w:rPr>
          <w:b/>
          <w:bCs/>
        </w:rPr>
        <w:t>for</w:t>
      </w:r>
      <w:r w:rsidRPr="003A2637">
        <w:rPr>
          <w:b/>
          <w:bCs/>
        </w:rPr>
        <w:t xml:space="preserve"> </w:t>
      </w:r>
      <w:r w:rsidR="00CA53E7">
        <w:rPr>
          <w:b/>
          <w:bCs/>
        </w:rPr>
        <w:t>mobile IAB-node</w:t>
      </w:r>
      <w:r w:rsidR="00725FF3">
        <w:rPr>
          <w:b/>
          <w:bCs/>
        </w:rPr>
        <w:t>s</w:t>
      </w:r>
      <w:r w:rsidR="00CA53E7">
        <w:rPr>
          <w:b/>
          <w:bCs/>
        </w:rPr>
        <w:t xml:space="preserve"> travel</w:t>
      </w:r>
      <w:r w:rsidR="00725FF3">
        <w:rPr>
          <w:b/>
          <w:bCs/>
        </w:rPr>
        <w:t>ing</w:t>
      </w:r>
      <w:r w:rsidR="00CA53E7">
        <w:rPr>
          <w:b/>
          <w:bCs/>
        </w:rPr>
        <w:t xml:space="preserve"> over </w:t>
      </w:r>
      <w:r w:rsidRPr="003A2637">
        <w:rPr>
          <w:b/>
          <w:bCs/>
        </w:rPr>
        <w:t>large</w:t>
      </w:r>
      <w:r w:rsidR="00725FF3">
        <w:rPr>
          <w:b/>
          <w:bCs/>
        </w:rPr>
        <w:t>r</w:t>
      </w:r>
      <w:r w:rsidRPr="003A2637">
        <w:rPr>
          <w:b/>
          <w:bCs/>
        </w:rPr>
        <w:t xml:space="preserve"> </w:t>
      </w:r>
      <w:r w:rsidR="00CA53E7">
        <w:rPr>
          <w:b/>
          <w:bCs/>
        </w:rPr>
        <w:t xml:space="preserve">distances, and it does not allow easy </w:t>
      </w:r>
      <w:r w:rsidR="00E00233">
        <w:rPr>
          <w:b/>
          <w:bCs/>
        </w:rPr>
        <w:t>adaptation in case of</w:t>
      </w:r>
      <w:r w:rsidR="00CA53E7">
        <w:rPr>
          <w:b/>
          <w:bCs/>
        </w:rPr>
        <w:t xml:space="preserve"> parent node additions or reconfigurations.</w:t>
      </w:r>
    </w:p>
    <w:p w14:paraId="54476906" w14:textId="58AA2E05" w:rsidR="00FA0BF6" w:rsidRDefault="00CA53E7" w:rsidP="009725F8">
      <w:r>
        <w:t xml:space="preserve">For Option B, the target logical </w:t>
      </w:r>
      <w:proofErr w:type="spellStart"/>
      <w:r>
        <w:t>mIAB</w:t>
      </w:r>
      <w:proofErr w:type="spellEnd"/>
      <w:r>
        <w:t xml:space="preserve">-DU can report either the source logical </w:t>
      </w:r>
      <w:proofErr w:type="spellStart"/>
      <w:r>
        <w:t>mIAB</w:t>
      </w:r>
      <w:proofErr w:type="spellEnd"/>
      <w:r>
        <w:t xml:space="preserve">-DU’s NCGI or an empty NCGI field together with a </w:t>
      </w:r>
      <w:r w:rsidR="00E00233">
        <w:t>“</w:t>
      </w:r>
      <w:r>
        <w:t>mobile-IAB</w:t>
      </w:r>
      <w:r w:rsidR="00E00233">
        <w:t>”</w:t>
      </w:r>
      <w:r>
        <w:t xml:space="preserve"> indicator in the F1 Setup Request. Based on this indication, the target CU can provide a new NCGI to the target logical </w:t>
      </w:r>
      <w:proofErr w:type="spellStart"/>
      <w:r>
        <w:t>mIAB</w:t>
      </w:r>
      <w:proofErr w:type="spellEnd"/>
      <w:r>
        <w:t xml:space="preserve">-DU in the F1 Setup Response. </w:t>
      </w:r>
      <w:r w:rsidR="00E00233">
        <w:t>This solution does not have the scalability problem of Option 1</w:t>
      </w:r>
      <w:r>
        <w:t xml:space="preserve">. This </w:t>
      </w:r>
      <w:r w:rsidR="00E00233">
        <w:t>solution</w:t>
      </w:r>
      <w:r>
        <w:t xml:space="preserve"> further </w:t>
      </w:r>
      <w:r w:rsidR="00E00233">
        <w:t xml:space="preserve">does not require any change on the mobile IAB-node in case parent node additions or </w:t>
      </w:r>
      <w:proofErr w:type="gramStart"/>
      <w:r w:rsidR="00E00233">
        <w:t>reconfigurations.</w:t>
      </w:r>
      <w:r>
        <w:t>.</w:t>
      </w:r>
      <w:proofErr w:type="gramEnd"/>
      <w:r w:rsidR="00FA0BF6">
        <w:t xml:space="preserve"> </w:t>
      </w:r>
    </w:p>
    <w:p w14:paraId="4C2E7365" w14:textId="4A16DCBA" w:rsidR="00CA53E7" w:rsidRPr="003A2637" w:rsidRDefault="00CA53E7" w:rsidP="00CA53E7">
      <w:pPr>
        <w:rPr>
          <w:b/>
          <w:bCs/>
        </w:rPr>
      </w:pPr>
      <w:r w:rsidRPr="003A2637">
        <w:rPr>
          <w:b/>
          <w:bCs/>
        </w:rPr>
        <w:t>Observation 3-</w:t>
      </w:r>
      <w:r>
        <w:rPr>
          <w:b/>
          <w:bCs/>
        </w:rPr>
        <w:t>2</w:t>
      </w:r>
      <w:r w:rsidRPr="003A2637">
        <w:rPr>
          <w:b/>
          <w:bCs/>
        </w:rPr>
        <w:t xml:space="preserve">: </w:t>
      </w:r>
      <w:r>
        <w:rPr>
          <w:b/>
          <w:bCs/>
        </w:rPr>
        <w:t>Donor</w:t>
      </w:r>
      <w:r w:rsidRPr="003A2637">
        <w:rPr>
          <w:b/>
          <w:bCs/>
        </w:rPr>
        <w:t xml:space="preserve">-based </w:t>
      </w:r>
      <w:r>
        <w:rPr>
          <w:b/>
          <w:bCs/>
        </w:rPr>
        <w:t>configuration</w:t>
      </w:r>
      <w:r w:rsidRPr="003A2637">
        <w:rPr>
          <w:b/>
          <w:bCs/>
        </w:rPr>
        <w:t xml:space="preserve"> of the </w:t>
      </w:r>
      <w:r>
        <w:rPr>
          <w:b/>
          <w:bCs/>
        </w:rPr>
        <w:t xml:space="preserve">target logical </w:t>
      </w:r>
      <w:r w:rsidRPr="003A2637">
        <w:rPr>
          <w:b/>
          <w:bCs/>
        </w:rPr>
        <w:t>DU</w:t>
      </w:r>
      <w:r>
        <w:rPr>
          <w:b/>
          <w:bCs/>
        </w:rPr>
        <w:t>’s</w:t>
      </w:r>
      <w:r w:rsidRPr="003A2637">
        <w:rPr>
          <w:b/>
          <w:bCs/>
        </w:rPr>
        <w:t xml:space="preserve"> NCGI </w:t>
      </w:r>
      <w:r>
        <w:rPr>
          <w:b/>
          <w:bCs/>
        </w:rPr>
        <w:t xml:space="preserve">does not have the shortcomings of OAM-based configuration </w:t>
      </w:r>
      <w:r w:rsidRPr="003A2637">
        <w:rPr>
          <w:b/>
          <w:bCs/>
        </w:rPr>
        <w:t xml:space="preserve">of the </w:t>
      </w:r>
      <w:r>
        <w:rPr>
          <w:b/>
          <w:bCs/>
        </w:rPr>
        <w:t xml:space="preserve">target logical </w:t>
      </w:r>
      <w:r w:rsidRPr="003A2637">
        <w:rPr>
          <w:b/>
          <w:bCs/>
        </w:rPr>
        <w:t>DU</w:t>
      </w:r>
      <w:r>
        <w:rPr>
          <w:b/>
          <w:bCs/>
        </w:rPr>
        <w:t>’s</w:t>
      </w:r>
      <w:r w:rsidRPr="003A2637">
        <w:rPr>
          <w:b/>
          <w:bCs/>
        </w:rPr>
        <w:t xml:space="preserve"> NCGI</w:t>
      </w:r>
      <w:r>
        <w:rPr>
          <w:b/>
          <w:bCs/>
        </w:rPr>
        <w:t>.</w:t>
      </w:r>
    </w:p>
    <w:p w14:paraId="796A92BE" w14:textId="311B6F9D" w:rsidR="009725F8" w:rsidRPr="00CA53E7" w:rsidRDefault="00CA53E7" w:rsidP="00696A0A">
      <w:pPr>
        <w:pStyle w:val="Agreement"/>
        <w:numPr>
          <w:ilvl w:val="0"/>
          <w:numId w:val="0"/>
        </w:numPr>
        <w:ind w:left="360" w:hanging="360"/>
        <w:rPr>
          <w:rFonts w:ascii="Times New Roman" w:hAnsi="Times New Roman"/>
          <w:bCs/>
        </w:rPr>
      </w:pPr>
      <w:r w:rsidRPr="00CA53E7">
        <w:rPr>
          <w:rFonts w:ascii="Times New Roman" w:hAnsi="Times New Roman"/>
          <w:bCs/>
        </w:rPr>
        <w:t>Proposal 3: The target logical DU’s NCGI to be configured by the target donor during F1 Setup.</w:t>
      </w:r>
    </w:p>
    <w:p w14:paraId="12900E71" w14:textId="77777777" w:rsidR="009725F8" w:rsidRDefault="009725F8" w:rsidP="00696A0A">
      <w:pPr>
        <w:pStyle w:val="Agreement"/>
        <w:numPr>
          <w:ilvl w:val="0"/>
          <w:numId w:val="0"/>
        </w:numPr>
        <w:ind w:left="360" w:hanging="360"/>
        <w:rPr>
          <w:rFonts w:ascii="Times New Roman" w:hAnsi="Times New Roman"/>
          <w:b w:val="0"/>
        </w:rPr>
      </w:pPr>
    </w:p>
    <w:p w14:paraId="5DEB47FB" w14:textId="4CEF708C" w:rsidR="00B9515D" w:rsidRPr="00B9515D" w:rsidRDefault="00B9515D" w:rsidP="006C4F2C">
      <w:pPr>
        <w:pStyle w:val="Agreement"/>
        <w:numPr>
          <w:ilvl w:val="0"/>
          <w:numId w:val="0"/>
        </w:numPr>
        <w:spacing w:before="0" w:after="120"/>
        <w:ind w:left="360" w:hanging="360"/>
        <w:rPr>
          <w:rFonts w:ascii="Times New Roman" w:hAnsi="Times New Roman"/>
        </w:rPr>
      </w:pPr>
      <w:r w:rsidRPr="00B9515D">
        <w:rPr>
          <w:rFonts w:ascii="Times New Roman" w:hAnsi="Times New Roman"/>
          <w:u w:val="single"/>
        </w:rPr>
        <w:t xml:space="preserve">Issue 4: </w:t>
      </w:r>
      <w:r w:rsidR="00502FEE">
        <w:rPr>
          <w:rFonts w:ascii="Times New Roman" w:hAnsi="Times New Roman"/>
          <w:u w:val="single"/>
        </w:rPr>
        <w:t xml:space="preserve">Dynamic vs. static </w:t>
      </w:r>
      <w:r w:rsidRPr="00B9515D">
        <w:rPr>
          <w:rFonts w:ascii="Times New Roman" w:hAnsi="Times New Roman"/>
          <w:u w:val="single"/>
        </w:rPr>
        <w:t>TAC during inter-donor DU migration</w:t>
      </w:r>
    </w:p>
    <w:p w14:paraId="64BA8FC2" w14:textId="74FE330A" w:rsidR="00B9515D" w:rsidRDefault="00B9515D" w:rsidP="00696A0A">
      <w:pPr>
        <w:pStyle w:val="Agreement"/>
        <w:numPr>
          <w:ilvl w:val="0"/>
          <w:numId w:val="0"/>
        </w:numPr>
        <w:ind w:left="360" w:hanging="36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following options were identified during the last meeting:</w:t>
      </w:r>
    </w:p>
    <w:p w14:paraId="6ACE4EFF" w14:textId="18B544D9" w:rsidR="00696A0A" w:rsidRPr="00C05C88" w:rsidRDefault="00696A0A" w:rsidP="00696A0A">
      <w:pPr>
        <w:pStyle w:val="Agreement"/>
        <w:numPr>
          <w:ilvl w:val="0"/>
          <w:numId w:val="0"/>
        </w:numPr>
        <w:ind w:left="360" w:hanging="360"/>
        <w:rPr>
          <w:rFonts w:ascii="Times New Roman" w:hAnsi="Times New Roman"/>
          <w:b w:val="0"/>
        </w:rPr>
      </w:pPr>
      <w:r w:rsidRPr="00B9515D">
        <w:rPr>
          <w:rFonts w:ascii="Times New Roman" w:hAnsi="Times New Roman"/>
          <w:bCs/>
        </w:rPr>
        <w:t>Option 1</w:t>
      </w:r>
      <w:r w:rsidR="00B9515D" w:rsidRPr="00B9515D">
        <w:rPr>
          <w:rFonts w:ascii="Times New Roman" w:hAnsi="Times New Roman"/>
          <w:bCs/>
        </w:rPr>
        <w:t xml:space="preserve">: </w:t>
      </w:r>
      <w:r w:rsidR="00B9515D" w:rsidRPr="00C05C88">
        <w:rPr>
          <w:rFonts w:ascii="Times New Roman" w:hAnsi="Times New Roman"/>
          <w:b w:val="0"/>
        </w:rPr>
        <w:t xml:space="preserve">TAC </w:t>
      </w:r>
      <w:r w:rsidR="00634704" w:rsidRPr="00C05C88">
        <w:rPr>
          <w:rFonts w:ascii="Times New Roman" w:hAnsi="Times New Roman"/>
          <w:b w:val="0"/>
        </w:rPr>
        <w:t>can be</w:t>
      </w:r>
      <w:r w:rsidR="00B9515D" w:rsidRPr="00C05C88">
        <w:rPr>
          <w:rFonts w:ascii="Times New Roman" w:hAnsi="Times New Roman"/>
          <w:b w:val="0"/>
        </w:rPr>
        <w:t xml:space="preserve"> </w:t>
      </w:r>
      <w:r w:rsidR="00634704" w:rsidRPr="00C05C88">
        <w:rPr>
          <w:rFonts w:ascii="Times New Roman" w:hAnsi="Times New Roman"/>
          <w:b w:val="0"/>
        </w:rPr>
        <w:t xml:space="preserve">dynamically </w:t>
      </w:r>
      <w:r w:rsidR="00B9515D" w:rsidRPr="00C05C88">
        <w:rPr>
          <w:rFonts w:ascii="Times New Roman" w:hAnsi="Times New Roman"/>
          <w:b w:val="0"/>
        </w:rPr>
        <w:t>changed to</w:t>
      </w:r>
      <w:r w:rsidRPr="00C05C88">
        <w:rPr>
          <w:rFonts w:ascii="Times New Roman" w:hAnsi="Times New Roman"/>
          <w:b w:val="0"/>
        </w:rPr>
        <w:t xml:space="preserve"> follow </w:t>
      </w:r>
      <w:r w:rsidR="00B9515D" w:rsidRPr="00C05C88">
        <w:rPr>
          <w:rFonts w:ascii="Times New Roman" w:hAnsi="Times New Roman"/>
          <w:b w:val="0"/>
        </w:rPr>
        <w:t xml:space="preserve">the </w:t>
      </w:r>
      <w:r w:rsidRPr="00C05C88">
        <w:rPr>
          <w:rFonts w:ascii="Times New Roman" w:hAnsi="Times New Roman"/>
          <w:b w:val="0"/>
        </w:rPr>
        <w:t xml:space="preserve">surrounding network </w:t>
      </w:r>
    </w:p>
    <w:p w14:paraId="1E4D0475" w14:textId="7FD44CEF" w:rsidR="00634704" w:rsidRPr="00634704" w:rsidRDefault="00634704" w:rsidP="00634704">
      <w:pPr>
        <w:pStyle w:val="Agreement"/>
        <w:numPr>
          <w:ilvl w:val="0"/>
          <w:numId w:val="0"/>
        </w:numPr>
        <w:ind w:left="360" w:hanging="360"/>
        <w:rPr>
          <w:rFonts w:ascii="Times New Roman" w:hAnsi="Times New Roman"/>
          <w:bCs/>
        </w:rPr>
      </w:pPr>
      <w:r w:rsidRPr="00634704">
        <w:rPr>
          <w:rFonts w:ascii="Times New Roman" w:hAnsi="Times New Roman"/>
          <w:bCs/>
        </w:rPr>
        <w:t xml:space="preserve">Option 2: </w:t>
      </w:r>
      <w:r w:rsidRPr="00C05C88">
        <w:rPr>
          <w:rFonts w:ascii="Times New Roman" w:hAnsi="Times New Roman"/>
          <w:b w:val="0"/>
        </w:rPr>
        <w:t>TAC is static and does not follow the surrounding network</w:t>
      </w:r>
    </w:p>
    <w:p w14:paraId="21F710D2" w14:textId="77777777" w:rsidR="00634704" w:rsidRPr="00634704" w:rsidRDefault="00634704" w:rsidP="00634704">
      <w:pPr>
        <w:pStyle w:val="Doc-text2"/>
      </w:pPr>
    </w:p>
    <w:p w14:paraId="72C52D2C" w14:textId="04C449CB" w:rsidR="00696A0A" w:rsidRPr="00634704" w:rsidRDefault="00634704" w:rsidP="00634704">
      <w:pPr>
        <w:pStyle w:val="Doc-text2"/>
        <w:ind w:left="0" w:firstLine="0"/>
        <w:rPr>
          <w:rFonts w:ascii="Times New Roman" w:hAnsi="Times New Roman"/>
        </w:rPr>
      </w:pPr>
      <w:r w:rsidRPr="00634704">
        <w:rPr>
          <w:rFonts w:ascii="Times New Roman" w:hAnsi="Times New Roman"/>
        </w:rPr>
        <w:t>On option 1:</w:t>
      </w:r>
      <w:r w:rsidR="00FA0808">
        <w:rPr>
          <w:rFonts w:ascii="Times New Roman" w:hAnsi="Times New Roman"/>
        </w:rPr>
        <w:t xml:space="preserve"> Dynamic TAC</w:t>
      </w:r>
    </w:p>
    <w:p w14:paraId="449C5C07" w14:textId="7CBA760D" w:rsidR="00634704" w:rsidRDefault="00634704" w:rsidP="00696A0A">
      <w:pPr>
        <w:pStyle w:val="Agreement"/>
        <w:numPr>
          <w:ilvl w:val="0"/>
          <w:numId w:val="31"/>
        </w:numPr>
        <w:rPr>
          <w:rFonts w:ascii="Times New Roman" w:hAnsi="Times New Roman"/>
          <w:b w:val="0"/>
        </w:rPr>
      </w:pPr>
      <w:r w:rsidRPr="00634704">
        <w:rPr>
          <w:rFonts w:ascii="Times New Roman" w:hAnsi="Times New Roman"/>
          <w:b w:val="0"/>
          <w:u w:val="single"/>
        </w:rPr>
        <w:t>TAC reconfiguration:</w:t>
      </w:r>
      <w:r>
        <w:rPr>
          <w:rFonts w:ascii="Times New Roman" w:hAnsi="Times New Roman"/>
          <w:b w:val="0"/>
        </w:rPr>
        <w:t xml:space="preserve"> For stationary </w:t>
      </w:r>
      <w:proofErr w:type="spellStart"/>
      <w:r>
        <w:rPr>
          <w:rFonts w:ascii="Times New Roman" w:hAnsi="Times New Roman"/>
          <w:b w:val="0"/>
        </w:rPr>
        <w:t>gNB</w:t>
      </w:r>
      <w:proofErr w:type="spellEnd"/>
      <w:r>
        <w:rPr>
          <w:rFonts w:ascii="Times New Roman" w:hAnsi="Times New Roman"/>
          <w:b w:val="0"/>
        </w:rPr>
        <w:t>-DUs and IAB-DUs, TAC is OAM</w:t>
      </w:r>
      <w:r w:rsidR="00FA0808">
        <w:rPr>
          <w:rFonts w:ascii="Times New Roman" w:hAnsi="Times New Roman"/>
          <w:b w:val="0"/>
        </w:rPr>
        <w:t>-</w:t>
      </w:r>
      <w:r>
        <w:rPr>
          <w:rFonts w:ascii="Times New Roman" w:hAnsi="Times New Roman"/>
          <w:b w:val="0"/>
        </w:rPr>
        <w:t xml:space="preserve">configured. A mechanism for dynamic TAC </w:t>
      </w:r>
      <w:r w:rsidR="00FA0808">
        <w:rPr>
          <w:rFonts w:ascii="Times New Roman" w:hAnsi="Times New Roman"/>
          <w:b w:val="0"/>
        </w:rPr>
        <w:t xml:space="preserve">reconfiguration is required </w:t>
      </w:r>
      <w:r>
        <w:rPr>
          <w:rFonts w:ascii="Times New Roman" w:hAnsi="Times New Roman"/>
          <w:b w:val="0"/>
        </w:rPr>
        <w:t xml:space="preserve">in case TAC </w:t>
      </w:r>
      <w:proofErr w:type="gramStart"/>
      <w:r w:rsidR="00FA0808">
        <w:rPr>
          <w:rFonts w:ascii="Times New Roman" w:hAnsi="Times New Roman"/>
          <w:b w:val="0"/>
        </w:rPr>
        <w:t>has to</w:t>
      </w:r>
      <w:proofErr w:type="gramEnd"/>
      <w:r w:rsidR="00FA0808">
        <w:rPr>
          <w:rFonts w:ascii="Times New Roman" w:hAnsi="Times New Roman"/>
          <w:b w:val="0"/>
        </w:rPr>
        <w:t xml:space="preserve"> change during</w:t>
      </w:r>
      <w:r>
        <w:rPr>
          <w:rFonts w:ascii="Times New Roman" w:hAnsi="Times New Roman"/>
          <w:b w:val="0"/>
        </w:rPr>
        <w:t xml:space="preserve"> inter-donor DU migration. This reconfiguration could follow the same principles as outlined for NCGI change during inter-donor DU migration discussed under issue 3.</w:t>
      </w:r>
    </w:p>
    <w:p w14:paraId="76A92A19" w14:textId="69812EF8" w:rsidR="00634704" w:rsidRDefault="00634704" w:rsidP="00696A0A">
      <w:pPr>
        <w:pStyle w:val="Agreement"/>
        <w:numPr>
          <w:ilvl w:val="0"/>
          <w:numId w:val="31"/>
        </w:numPr>
        <w:rPr>
          <w:rFonts w:ascii="Times New Roman" w:hAnsi="Times New Roman"/>
          <w:b w:val="0"/>
        </w:rPr>
      </w:pPr>
      <w:proofErr w:type="spellStart"/>
      <w:r w:rsidRPr="00634704">
        <w:rPr>
          <w:rFonts w:ascii="Times New Roman" w:hAnsi="Times New Roman"/>
          <w:b w:val="0"/>
          <w:u w:val="single"/>
        </w:rPr>
        <w:t>Signaling</w:t>
      </w:r>
      <w:proofErr w:type="spellEnd"/>
      <w:r w:rsidRPr="00634704">
        <w:rPr>
          <w:rFonts w:ascii="Times New Roman" w:hAnsi="Times New Roman"/>
          <w:b w:val="0"/>
          <w:u w:val="single"/>
        </w:rPr>
        <w:t xml:space="preserve"> storm:</w:t>
      </w:r>
      <w:r>
        <w:rPr>
          <w:rFonts w:ascii="Times New Roman" w:hAnsi="Times New Roman"/>
          <w:b w:val="0"/>
        </w:rPr>
        <w:t xml:space="preserve"> When TAC is changed, all idle and inactive UEs re-selecting the logical target IAB-DU cell may have to perform a </w:t>
      </w:r>
      <w:r w:rsidR="00417977">
        <w:rPr>
          <w:rFonts w:ascii="Times New Roman" w:hAnsi="Times New Roman"/>
          <w:b w:val="0"/>
        </w:rPr>
        <w:t>NAS R</w:t>
      </w:r>
      <w:r>
        <w:rPr>
          <w:rFonts w:ascii="Times New Roman" w:hAnsi="Times New Roman"/>
          <w:b w:val="0"/>
        </w:rPr>
        <w:t xml:space="preserve">egistration </w:t>
      </w:r>
      <w:r w:rsidR="00417977">
        <w:rPr>
          <w:rFonts w:ascii="Times New Roman" w:hAnsi="Times New Roman"/>
          <w:b w:val="0"/>
        </w:rPr>
        <w:t>U</w:t>
      </w:r>
      <w:r>
        <w:rPr>
          <w:rFonts w:ascii="Times New Roman" w:hAnsi="Times New Roman"/>
          <w:b w:val="0"/>
        </w:rPr>
        <w:t xml:space="preserve">pdate. </w:t>
      </w:r>
      <w:r w:rsidR="00417977">
        <w:rPr>
          <w:rFonts w:ascii="Times New Roman" w:hAnsi="Times New Roman"/>
          <w:b w:val="0"/>
        </w:rPr>
        <w:t xml:space="preserve">This is not a problem in case </w:t>
      </w:r>
      <w:r w:rsidR="009B7165">
        <w:rPr>
          <w:rFonts w:ascii="Times New Roman" w:hAnsi="Times New Roman"/>
          <w:b w:val="0"/>
        </w:rPr>
        <w:t>the</w:t>
      </w:r>
      <w:r w:rsidR="00417977">
        <w:rPr>
          <w:rFonts w:ascii="Times New Roman" w:hAnsi="Times New Roman"/>
          <w:b w:val="0"/>
        </w:rPr>
        <w:t xml:space="preserve"> UEs involved</w:t>
      </w:r>
      <w:r w:rsidR="009B7165">
        <w:rPr>
          <w:rFonts w:ascii="Times New Roman" w:hAnsi="Times New Roman"/>
          <w:b w:val="0"/>
        </w:rPr>
        <w:t xml:space="preserve"> are few</w:t>
      </w:r>
      <w:r w:rsidR="00417977">
        <w:rPr>
          <w:rFonts w:ascii="Times New Roman" w:hAnsi="Times New Roman"/>
          <w:b w:val="0"/>
        </w:rPr>
        <w:t xml:space="preserve">, e.g., in case the IAB-node resides on a car or bus. </w:t>
      </w:r>
      <w:r>
        <w:rPr>
          <w:rFonts w:ascii="Times New Roman" w:hAnsi="Times New Roman"/>
          <w:b w:val="0"/>
        </w:rPr>
        <w:t>This may</w:t>
      </w:r>
      <w:r w:rsidR="00417977">
        <w:rPr>
          <w:rFonts w:ascii="Times New Roman" w:hAnsi="Times New Roman"/>
          <w:b w:val="0"/>
        </w:rPr>
        <w:t xml:space="preserve">, however, </w:t>
      </w:r>
      <w:r>
        <w:rPr>
          <w:rFonts w:ascii="Times New Roman" w:hAnsi="Times New Roman"/>
          <w:b w:val="0"/>
        </w:rPr>
        <w:t xml:space="preserve">create a </w:t>
      </w:r>
      <w:proofErr w:type="spellStart"/>
      <w:r>
        <w:rPr>
          <w:rFonts w:ascii="Times New Roman" w:hAnsi="Times New Roman"/>
          <w:b w:val="0"/>
        </w:rPr>
        <w:t>signaling</w:t>
      </w:r>
      <w:proofErr w:type="spellEnd"/>
      <w:r>
        <w:rPr>
          <w:rFonts w:ascii="Times New Roman" w:hAnsi="Times New Roman"/>
          <w:b w:val="0"/>
        </w:rPr>
        <w:t xml:space="preserve"> storm on RACH, F1AP, and NGAP in case </w:t>
      </w:r>
      <w:r w:rsidR="009B7165">
        <w:rPr>
          <w:rFonts w:ascii="Times New Roman" w:hAnsi="Times New Roman"/>
          <w:b w:val="0"/>
        </w:rPr>
        <w:t>the number of UEs involved is large, e.g., in case the</w:t>
      </w:r>
      <w:r>
        <w:rPr>
          <w:rFonts w:ascii="Times New Roman" w:hAnsi="Times New Roman"/>
          <w:b w:val="0"/>
        </w:rPr>
        <w:t xml:space="preserve"> IAB-node resid</w:t>
      </w:r>
      <w:r w:rsidR="009B7165">
        <w:rPr>
          <w:rFonts w:ascii="Times New Roman" w:hAnsi="Times New Roman"/>
          <w:b w:val="0"/>
        </w:rPr>
        <w:t>es</w:t>
      </w:r>
      <w:r>
        <w:rPr>
          <w:rFonts w:ascii="Times New Roman" w:hAnsi="Times New Roman"/>
          <w:b w:val="0"/>
        </w:rPr>
        <w:t xml:space="preserve"> on </w:t>
      </w:r>
      <w:r w:rsidR="009B7165">
        <w:rPr>
          <w:rFonts w:ascii="Times New Roman" w:hAnsi="Times New Roman"/>
          <w:b w:val="0"/>
        </w:rPr>
        <w:t xml:space="preserve">a </w:t>
      </w:r>
      <w:r>
        <w:rPr>
          <w:rFonts w:ascii="Times New Roman" w:hAnsi="Times New Roman"/>
          <w:b w:val="0"/>
        </w:rPr>
        <w:t>long train.</w:t>
      </w:r>
    </w:p>
    <w:p w14:paraId="10D3108E" w14:textId="2F06D480" w:rsidR="00634704" w:rsidRDefault="00417977" w:rsidP="00696A0A">
      <w:pPr>
        <w:pStyle w:val="Agreement"/>
        <w:numPr>
          <w:ilvl w:val="0"/>
          <w:numId w:val="31"/>
        </w:numPr>
        <w:rPr>
          <w:rFonts w:ascii="Times New Roman" w:hAnsi="Times New Roman"/>
          <w:b w:val="0"/>
        </w:rPr>
      </w:pPr>
      <w:r w:rsidRPr="00417977">
        <w:rPr>
          <w:rFonts w:ascii="Times New Roman" w:hAnsi="Times New Roman"/>
          <w:b w:val="0"/>
          <w:u w:val="single"/>
        </w:rPr>
        <w:t>Impact on SA2</w:t>
      </w:r>
      <w:r>
        <w:rPr>
          <w:rFonts w:ascii="Times New Roman" w:hAnsi="Times New Roman"/>
          <w:b w:val="0"/>
        </w:rPr>
        <w:t xml:space="preserve">: Since the potentially high number of NAS Registration Updates has impact on the AMF, RAN3 needs to inform SA2 </w:t>
      </w:r>
      <w:r w:rsidR="00FA0808">
        <w:rPr>
          <w:rFonts w:ascii="Times New Roman" w:hAnsi="Times New Roman"/>
          <w:b w:val="0"/>
        </w:rPr>
        <w:t>if</w:t>
      </w:r>
      <w:r>
        <w:rPr>
          <w:rFonts w:ascii="Times New Roman" w:hAnsi="Times New Roman"/>
          <w:b w:val="0"/>
        </w:rPr>
        <w:t xml:space="preserve"> it decides to support this option. </w:t>
      </w:r>
    </w:p>
    <w:p w14:paraId="4B09E60E" w14:textId="721F4188" w:rsidR="00417977" w:rsidRDefault="00417977" w:rsidP="00417977">
      <w:pPr>
        <w:pStyle w:val="Agreement"/>
        <w:numPr>
          <w:ilvl w:val="0"/>
          <w:numId w:val="31"/>
        </w:numPr>
        <w:rPr>
          <w:rFonts w:ascii="Times New Roman" w:hAnsi="Times New Roman"/>
          <w:b w:val="0"/>
        </w:rPr>
      </w:pPr>
      <w:r w:rsidRPr="00417977">
        <w:rPr>
          <w:rFonts w:ascii="Times New Roman" w:hAnsi="Times New Roman"/>
          <w:b w:val="0"/>
          <w:u w:val="single"/>
        </w:rPr>
        <w:t xml:space="preserve">Impact on </w:t>
      </w:r>
      <w:r>
        <w:rPr>
          <w:rFonts w:ascii="Times New Roman" w:hAnsi="Times New Roman"/>
          <w:b w:val="0"/>
          <w:u w:val="single"/>
        </w:rPr>
        <w:t>RAN</w:t>
      </w:r>
      <w:r w:rsidRPr="00417977">
        <w:rPr>
          <w:rFonts w:ascii="Times New Roman" w:hAnsi="Times New Roman"/>
          <w:b w:val="0"/>
          <w:u w:val="single"/>
        </w:rPr>
        <w:t>2</w:t>
      </w:r>
      <w:r>
        <w:rPr>
          <w:rFonts w:ascii="Times New Roman" w:hAnsi="Times New Roman"/>
          <w:b w:val="0"/>
        </w:rPr>
        <w:t xml:space="preserve">: Since the potentially high number of random-access procedures has impact on the RACH, RAN3 needs to inform RAN2 </w:t>
      </w:r>
      <w:r w:rsidR="00FA0808">
        <w:rPr>
          <w:rFonts w:ascii="Times New Roman" w:hAnsi="Times New Roman"/>
          <w:b w:val="0"/>
        </w:rPr>
        <w:t>if</w:t>
      </w:r>
      <w:r>
        <w:rPr>
          <w:rFonts w:ascii="Times New Roman" w:hAnsi="Times New Roman"/>
          <w:b w:val="0"/>
        </w:rPr>
        <w:t xml:space="preserve"> it decides to support this option. </w:t>
      </w:r>
    </w:p>
    <w:p w14:paraId="6F5D56EF" w14:textId="6ADCF10E" w:rsidR="00EB4A47" w:rsidRDefault="00EB4A47" w:rsidP="00EB4A47">
      <w:pPr>
        <w:pStyle w:val="Doc-text2"/>
      </w:pPr>
    </w:p>
    <w:p w14:paraId="1E0CF765" w14:textId="309297DC" w:rsidR="00EB4A47" w:rsidRPr="003A2637" w:rsidRDefault="00EB4A47" w:rsidP="00EB4A47">
      <w:pPr>
        <w:rPr>
          <w:b/>
          <w:bCs/>
        </w:rPr>
      </w:pPr>
      <w:r w:rsidRPr="003A2637">
        <w:rPr>
          <w:b/>
          <w:bCs/>
        </w:rPr>
        <w:t xml:space="preserve">Observation </w:t>
      </w:r>
      <w:r w:rsidR="006C4F2C">
        <w:rPr>
          <w:b/>
          <w:bCs/>
        </w:rPr>
        <w:t>4</w:t>
      </w:r>
      <w:r w:rsidRPr="003A2637">
        <w:rPr>
          <w:b/>
          <w:bCs/>
        </w:rPr>
        <w:t>-</w:t>
      </w:r>
      <w:r w:rsidR="006C4F2C">
        <w:rPr>
          <w:b/>
          <w:bCs/>
        </w:rPr>
        <w:t>1</w:t>
      </w:r>
      <w:r w:rsidRPr="003A2637">
        <w:rPr>
          <w:b/>
          <w:bCs/>
        </w:rPr>
        <w:t xml:space="preserve">: </w:t>
      </w:r>
      <w:r w:rsidR="00870F1B">
        <w:rPr>
          <w:b/>
          <w:bCs/>
        </w:rPr>
        <w:t xml:space="preserve">Dynamic </w:t>
      </w:r>
      <w:r>
        <w:rPr>
          <w:b/>
          <w:bCs/>
        </w:rPr>
        <w:t>TAC requires TAC reconfiguration</w:t>
      </w:r>
      <w:r w:rsidR="00870F1B">
        <w:rPr>
          <w:b/>
          <w:bCs/>
        </w:rPr>
        <w:t xml:space="preserve"> procedures</w:t>
      </w:r>
      <w:r>
        <w:rPr>
          <w:b/>
          <w:bCs/>
        </w:rPr>
        <w:t xml:space="preserve">, and it may cause a signalling storm due to </w:t>
      </w:r>
      <w:proofErr w:type="gramStart"/>
      <w:r>
        <w:rPr>
          <w:b/>
          <w:bCs/>
        </w:rPr>
        <w:t>a large number of</w:t>
      </w:r>
      <w:proofErr w:type="gramEnd"/>
      <w:r>
        <w:rPr>
          <w:b/>
          <w:bCs/>
        </w:rPr>
        <w:t xml:space="preserve"> </w:t>
      </w:r>
      <w:r w:rsidR="00FA0808">
        <w:rPr>
          <w:b/>
          <w:bCs/>
        </w:rPr>
        <w:t xml:space="preserve">simultaneous </w:t>
      </w:r>
      <w:r>
        <w:rPr>
          <w:b/>
          <w:bCs/>
        </w:rPr>
        <w:t>UE Registration Updates.</w:t>
      </w:r>
    </w:p>
    <w:p w14:paraId="03BA5EAF" w14:textId="77777777" w:rsidR="00696A0A" w:rsidRPr="00885EAC" w:rsidRDefault="00696A0A" w:rsidP="00696A0A">
      <w:pPr>
        <w:pStyle w:val="Doc-text2"/>
      </w:pPr>
    </w:p>
    <w:p w14:paraId="1FCF1C32" w14:textId="3707B0FC" w:rsidR="00696A0A" w:rsidRDefault="00235CA7" w:rsidP="00696A0A">
      <w:pPr>
        <w:pStyle w:val="Agreement"/>
        <w:numPr>
          <w:ilvl w:val="0"/>
          <w:numId w:val="0"/>
        </w:numPr>
        <w:ind w:left="360" w:hanging="36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On </w:t>
      </w:r>
      <w:r w:rsidR="00696A0A">
        <w:rPr>
          <w:rFonts w:ascii="Times New Roman" w:hAnsi="Times New Roman"/>
          <w:b w:val="0"/>
        </w:rPr>
        <w:t xml:space="preserve">Option 2: </w:t>
      </w:r>
    </w:p>
    <w:p w14:paraId="67795B9D" w14:textId="46628C17" w:rsidR="00696A0A" w:rsidRDefault="00A136C3" w:rsidP="00696A0A">
      <w:pPr>
        <w:pStyle w:val="Agreement"/>
        <w:numPr>
          <w:ilvl w:val="0"/>
          <w:numId w:val="31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u w:val="single"/>
        </w:rPr>
        <w:t xml:space="preserve">Update of </w:t>
      </w:r>
      <w:r w:rsidR="00626713">
        <w:rPr>
          <w:rFonts w:ascii="Times New Roman" w:hAnsi="Times New Roman"/>
          <w:b w:val="0"/>
          <w:u w:val="single"/>
        </w:rPr>
        <w:t xml:space="preserve">UE’s </w:t>
      </w:r>
      <w:r w:rsidR="00235CA7">
        <w:rPr>
          <w:rFonts w:ascii="Times New Roman" w:hAnsi="Times New Roman"/>
          <w:b w:val="0"/>
          <w:u w:val="single"/>
        </w:rPr>
        <w:t>AMF</w:t>
      </w:r>
      <w:r w:rsidR="00626713">
        <w:rPr>
          <w:rFonts w:ascii="Times New Roman" w:hAnsi="Times New Roman"/>
          <w:b w:val="0"/>
          <w:u w:val="single"/>
        </w:rPr>
        <w:t xml:space="preserve"> with TAC-to-</w:t>
      </w:r>
      <w:proofErr w:type="spellStart"/>
      <w:r w:rsidR="00626713">
        <w:rPr>
          <w:rFonts w:ascii="Times New Roman" w:hAnsi="Times New Roman"/>
          <w:b w:val="0"/>
          <w:u w:val="single"/>
        </w:rPr>
        <w:t>gNB</w:t>
      </w:r>
      <w:proofErr w:type="spellEnd"/>
      <w:r w:rsidR="00626713">
        <w:rPr>
          <w:rFonts w:ascii="Times New Roman" w:hAnsi="Times New Roman"/>
          <w:b w:val="0"/>
          <w:u w:val="single"/>
        </w:rPr>
        <w:t xml:space="preserve"> mapping</w:t>
      </w:r>
      <w:r w:rsidR="00235CA7" w:rsidRPr="00634704">
        <w:rPr>
          <w:rFonts w:ascii="Times New Roman" w:hAnsi="Times New Roman"/>
          <w:b w:val="0"/>
          <w:u w:val="single"/>
        </w:rPr>
        <w:t>:</w:t>
      </w:r>
      <w:r w:rsidR="00235CA7">
        <w:rPr>
          <w:rFonts w:ascii="Times New Roman" w:hAnsi="Times New Roman"/>
          <w:b w:val="0"/>
        </w:rPr>
        <w:t xml:space="preserve"> </w:t>
      </w:r>
      <w:r w:rsidR="00626713">
        <w:rPr>
          <w:rFonts w:ascii="Times New Roman" w:hAnsi="Times New Roman"/>
          <w:b w:val="0"/>
        </w:rPr>
        <w:t>At every inter-donor DU migration, t</w:t>
      </w:r>
      <w:r>
        <w:rPr>
          <w:rFonts w:ascii="Times New Roman" w:hAnsi="Times New Roman"/>
          <w:b w:val="0"/>
        </w:rPr>
        <w:t xml:space="preserve">he UE’s AMF </w:t>
      </w:r>
      <w:r w:rsidR="00626713">
        <w:rPr>
          <w:rFonts w:ascii="Times New Roman" w:hAnsi="Times New Roman"/>
          <w:b w:val="0"/>
        </w:rPr>
        <w:t>needs to be updated with the TAC</w:t>
      </w:r>
      <w:r w:rsidR="00F37FF3">
        <w:rPr>
          <w:rFonts w:ascii="Times New Roman" w:hAnsi="Times New Roman"/>
          <w:b w:val="0"/>
        </w:rPr>
        <w:t>-</w:t>
      </w:r>
      <w:r w:rsidR="00626713">
        <w:rPr>
          <w:rFonts w:ascii="Times New Roman" w:hAnsi="Times New Roman"/>
          <w:b w:val="0"/>
        </w:rPr>
        <w:t>to-</w:t>
      </w:r>
      <w:proofErr w:type="spellStart"/>
      <w:r w:rsidR="00626713">
        <w:rPr>
          <w:rFonts w:ascii="Times New Roman" w:hAnsi="Times New Roman"/>
          <w:b w:val="0"/>
        </w:rPr>
        <w:t>gNB</w:t>
      </w:r>
      <w:proofErr w:type="spellEnd"/>
      <w:r w:rsidR="00626713">
        <w:rPr>
          <w:rFonts w:ascii="Times New Roman" w:hAnsi="Times New Roman"/>
          <w:b w:val="0"/>
        </w:rPr>
        <w:t xml:space="preserve"> mapping</w:t>
      </w:r>
      <w:r>
        <w:rPr>
          <w:rFonts w:ascii="Times New Roman" w:hAnsi="Times New Roman"/>
          <w:b w:val="0"/>
        </w:rPr>
        <w:t>.</w:t>
      </w:r>
    </w:p>
    <w:p w14:paraId="35BC91BE" w14:textId="61EAF107" w:rsidR="00696A0A" w:rsidRDefault="00A136C3" w:rsidP="00696A0A">
      <w:pPr>
        <w:pStyle w:val="Agreement"/>
        <w:numPr>
          <w:ilvl w:val="0"/>
          <w:numId w:val="31"/>
        </w:numPr>
        <w:rPr>
          <w:rFonts w:ascii="Times New Roman" w:hAnsi="Times New Roman"/>
          <w:b w:val="0"/>
        </w:rPr>
      </w:pPr>
      <w:r w:rsidRPr="00A136C3">
        <w:rPr>
          <w:rFonts w:ascii="Times New Roman" w:hAnsi="Times New Roman"/>
          <w:b w:val="0"/>
          <w:u w:val="single"/>
        </w:rPr>
        <w:t>Identification of AMFs affected</w:t>
      </w:r>
      <w:r>
        <w:rPr>
          <w:rFonts w:ascii="Times New Roman" w:hAnsi="Times New Roman"/>
          <w:b w:val="0"/>
        </w:rPr>
        <w:t xml:space="preserve">: </w:t>
      </w:r>
      <w:r w:rsidR="00F37FF3">
        <w:rPr>
          <w:rFonts w:ascii="Times New Roman" w:hAnsi="Times New Roman"/>
          <w:b w:val="0"/>
        </w:rPr>
        <w:t>For the TAC-to-</w:t>
      </w:r>
      <w:proofErr w:type="spellStart"/>
      <w:r w:rsidR="00F37FF3">
        <w:rPr>
          <w:rFonts w:ascii="Times New Roman" w:hAnsi="Times New Roman"/>
          <w:b w:val="0"/>
        </w:rPr>
        <w:t>gNB</w:t>
      </w:r>
      <w:proofErr w:type="spellEnd"/>
      <w:r w:rsidR="00F37FF3">
        <w:rPr>
          <w:rFonts w:ascii="Times New Roman" w:hAnsi="Times New Roman"/>
          <w:b w:val="0"/>
        </w:rPr>
        <w:t xml:space="preserve"> mapping update, t</w:t>
      </w:r>
      <w:r>
        <w:rPr>
          <w:rFonts w:ascii="Times New Roman" w:hAnsi="Times New Roman"/>
          <w:b w:val="0"/>
        </w:rPr>
        <w:t xml:space="preserve">he target CU needs to </w:t>
      </w:r>
      <w:r w:rsidR="00F37FF3">
        <w:rPr>
          <w:rFonts w:ascii="Times New Roman" w:hAnsi="Times New Roman"/>
          <w:b w:val="0"/>
        </w:rPr>
        <w:t>identify</w:t>
      </w:r>
      <w:r>
        <w:rPr>
          <w:rFonts w:ascii="Times New Roman" w:hAnsi="Times New Roman"/>
          <w:b w:val="0"/>
        </w:rPr>
        <w:t xml:space="preserve"> all those AMFs that hold context of idle/inactive UEs camping on the IAB-node’s DU. </w:t>
      </w:r>
      <w:r w:rsidR="00F37FF3">
        <w:rPr>
          <w:rFonts w:ascii="Times New Roman" w:hAnsi="Times New Roman"/>
          <w:b w:val="0"/>
        </w:rPr>
        <w:t xml:space="preserve">However, after inter-donor DU migration, </w:t>
      </w:r>
      <w:r>
        <w:rPr>
          <w:rFonts w:ascii="Times New Roman" w:hAnsi="Times New Roman"/>
          <w:b w:val="0"/>
        </w:rPr>
        <w:t xml:space="preserve">the target CU does not know which idle/inactive UEs camp on the </w:t>
      </w:r>
      <w:r w:rsidR="00F37FF3">
        <w:rPr>
          <w:rFonts w:ascii="Times New Roman" w:hAnsi="Times New Roman"/>
          <w:b w:val="0"/>
        </w:rPr>
        <w:t xml:space="preserve">target logical </w:t>
      </w:r>
      <w:r>
        <w:rPr>
          <w:rFonts w:ascii="Times New Roman" w:hAnsi="Times New Roman"/>
          <w:b w:val="0"/>
        </w:rPr>
        <w:t>IAB-DU</w:t>
      </w:r>
      <w:r w:rsidR="00F37FF3">
        <w:rPr>
          <w:rFonts w:ascii="Times New Roman" w:hAnsi="Times New Roman"/>
          <w:b w:val="0"/>
        </w:rPr>
        <w:t>. Therefore,</w:t>
      </w:r>
      <w:r>
        <w:rPr>
          <w:rFonts w:ascii="Times New Roman" w:hAnsi="Times New Roman"/>
          <w:b w:val="0"/>
        </w:rPr>
        <w:t xml:space="preserve"> the RAN </w:t>
      </w:r>
      <w:proofErr w:type="gramStart"/>
      <w:r>
        <w:rPr>
          <w:rFonts w:ascii="Times New Roman" w:hAnsi="Times New Roman"/>
          <w:b w:val="0"/>
        </w:rPr>
        <w:t>has to</w:t>
      </w:r>
      <w:proofErr w:type="gramEnd"/>
      <w:r>
        <w:rPr>
          <w:rFonts w:ascii="Times New Roman" w:hAnsi="Times New Roman"/>
          <w:b w:val="0"/>
        </w:rPr>
        <w:t xml:space="preserve"> perform record keeping </w:t>
      </w:r>
      <w:r w:rsidR="00F37FF3">
        <w:rPr>
          <w:rFonts w:ascii="Times New Roman" w:hAnsi="Times New Roman"/>
          <w:b w:val="0"/>
        </w:rPr>
        <w:t>about</w:t>
      </w:r>
      <w:r>
        <w:rPr>
          <w:rFonts w:ascii="Times New Roman" w:hAnsi="Times New Roman"/>
          <w:b w:val="0"/>
        </w:rPr>
        <w:t xml:space="preserve"> the AMFs </w:t>
      </w:r>
      <w:r w:rsidR="00141C71">
        <w:rPr>
          <w:rFonts w:ascii="Times New Roman" w:hAnsi="Times New Roman"/>
          <w:b w:val="0"/>
        </w:rPr>
        <w:t xml:space="preserve">that are </w:t>
      </w:r>
      <w:r>
        <w:rPr>
          <w:rFonts w:ascii="Times New Roman" w:hAnsi="Times New Roman"/>
          <w:b w:val="0"/>
        </w:rPr>
        <w:t xml:space="preserve">used </w:t>
      </w:r>
      <w:r w:rsidR="00141C71">
        <w:rPr>
          <w:rFonts w:ascii="Times New Roman" w:hAnsi="Times New Roman"/>
          <w:b w:val="0"/>
        </w:rPr>
        <w:t xml:space="preserve">for NAS </w:t>
      </w:r>
      <w:proofErr w:type="spellStart"/>
      <w:r w:rsidR="00141C71">
        <w:rPr>
          <w:rFonts w:ascii="Times New Roman" w:hAnsi="Times New Roman"/>
          <w:b w:val="0"/>
        </w:rPr>
        <w:t>signaling</w:t>
      </w:r>
      <w:proofErr w:type="spellEnd"/>
      <w:r w:rsidR="00141C71">
        <w:rPr>
          <w:rFonts w:ascii="Times New Roman" w:hAnsi="Times New Roman"/>
          <w:b w:val="0"/>
        </w:rPr>
        <w:t xml:space="preserve"> by UEs connected via this IAB-node</w:t>
      </w:r>
      <w:r w:rsidR="00F37FF3">
        <w:rPr>
          <w:rFonts w:ascii="Times New Roman" w:hAnsi="Times New Roman"/>
          <w:b w:val="0"/>
        </w:rPr>
        <w:t>, and this record needs to be passed on during inter-donor DU migration</w:t>
      </w:r>
      <w:r w:rsidR="00141C71">
        <w:rPr>
          <w:rFonts w:ascii="Times New Roman" w:hAnsi="Times New Roman"/>
          <w:b w:val="0"/>
        </w:rPr>
        <w:t>.</w:t>
      </w:r>
    </w:p>
    <w:p w14:paraId="0E78C810" w14:textId="6869374B" w:rsidR="006D3390" w:rsidRDefault="006D3390" w:rsidP="00696A0A">
      <w:pPr>
        <w:pStyle w:val="Agreement"/>
        <w:numPr>
          <w:ilvl w:val="0"/>
          <w:numId w:val="31"/>
        </w:numPr>
        <w:rPr>
          <w:rFonts w:ascii="Times New Roman" w:hAnsi="Times New Roman"/>
          <w:b w:val="0"/>
        </w:rPr>
      </w:pPr>
      <w:r w:rsidRPr="006D3390">
        <w:rPr>
          <w:rFonts w:ascii="Times New Roman" w:hAnsi="Times New Roman"/>
          <w:b w:val="0"/>
          <w:u w:val="single"/>
        </w:rPr>
        <w:t>IAB-node leaving AMF coverage area</w:t>
      </w:r>
      <w:r>
        <w:rPr>
          <w:rFonts w:ascii="Times New Roman" w:hAnsi="Times New Roman"/>
          <w:b w:val="0"/>
        </w:rPr>
        <w:t>: In case the IAB-node leaves the AMF coverage area, all</w:t>
      </w:r>
      <w:r w:rsidR="00E347AA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UEs that have context in this AMF need to perform AMF relocation. </w:t>
      </w:r>
      <w:r w:rsidR="00E347AA">
        <w:rPr>
          <w:rFonts w:ascii="Times New Roman" w:hAnsi="Times New Roman"/>
          <w:b w:val="0"/>
        </w:rPr>
        <w:t xml:space="preserve">One way to achieve this AMF relocation is to force all </w:t>
      </w:r>
      <w:r w:rsidR="00F37FF3">
        <w:rPr>
          <w:rFonts w:ascii="Times New Roman" w:hAnsi="Times New Roman"/>
          <w:b w:val="0"/>
        </w:rPr>
        <w:t>idle/inactive</w:t>
      </w:r>
      <w:r w:rsidR="00E347AA">
        <w:rPr>
          <w:rFonts w:ascii="Times New Roman" w:hAnsi="Times New Roman"/>
          <w:b w:val="0"/>
        </w:rPr>
        <w:t xml:space="preserve"> UEs to perform a </w:t>
      </w:r>
      <w:r w:rsidR="00F37FF3">
        <w:rPr>
          <w:rFonts w:ascii="Times New Roman" w:hAnsi="Times New Roman"/>
          <w:b w:val="0"/>
        </w:rPr>
        <w:t>NAS R</w:t>
      </w:r>
      <w:r w:rsidR="00E347AA">
        <w:rPr>
          <w:rFonts w:ascii="Times New Roman" w:hAnsi="Times New Roman"/>
          <w:b w:val="0"/>
        </w:rPr>
        <w:t xml:space="preserve">egistration update by changing the TAC </w:t>
      </w:r>
      <w:r w:rsidR="00F37FF3">
        <w:rPr>
          <w:rFonts w:ascii="Times New Roman" w:hAnsi="Times New Roman"/>
          <w:b w:val="0"/>
        </w:rPr>
        <w:t xml:space="preserve">that is </w:t>
      </w:r>
      <w:r w:rsidR="00E347AA">
        <w:rPr>
          <w:rFonts w:ascii="Times New Roman" w:hAnsi="Times New Roman"/>
          <w:b w:val="0"/>
        </w:rPr>
        <w:t>broadcast by the IAB-node. This would result in Option 1. Other solutions may be possible</w:t>
      </w:r>
      <w:r w:rsidR="00F37FF3">
        <w:rPr>
          <w:rFonts w:ascii="Times New Roman" w:hAnsi="Times New Roman"/>
          <w:b w:val="0"/>
        </w:rPr>
        <w:t xml:space="preserve"> and need to be discussed by RAN3</w:t>
      </w:r>
      <w:r w:rsidR="00E347AA">
        <w:rPr>
          <w:rFonts w:ascii="Times New Roman" w:hAnsi="Times New Roman"/>
          <w:b w:val="0"/>
        </w:rPr>
        <w:t>.</w:t>
      </w:r>
      <w:r>
        <w:rPr>
          <w:rFonts w:ascii="Times New Roman" w:hAnsi="Times New Roman"/>
          <w:b w:val="0"/>
        </w:rPr>
        <w:t xml:space="preserve"> </w:t>
      </w:r>
    </w:p>
    <w:p w14:paraId="19D8396E" w14:textId="2B97294D" w:rsidR="00E52671" w:rsidRDefault="00E52671" w:rsidP="00E52671">
      <w:pPr>
        <w:pStyle w:val="Agreement"/>
        <w:numPr>
          <w:ilvl w:val="0"/>
          <w:numId w:val="31"/>
        </w:numPr>
        <w:rPr>
          <w:rFonts w:ascii="Times New Roman" w:hAnsi="Times New Roman"/>
          <w:b w:val="0"/>
        </w:rPr>
      </w:pPr>
      <w:r w:rsidRPr="00417977">
        <w:rPr>
          <w:rFonts w:ascii="Times New Roman" w:hAnsi="Times New Roman"/>
          <w:b w:val="0"/>
          <w:u w:val="single"/>
        </w:rPr>
        <w:t>Impact on SA2</w:t>
      </w:r>
      <w:r>
        <w:rPr>
          <w:rFonts w:ascii="Times New Roman" w:hAnsi="Times New Roman"/>
          <w:b w:val="0"/>
        </w:rPr>
        <w:t xml:space="preserve">: </w:t>
      </w:r>
      <w:r w:rsidR="00F422CF">
        <w:rPr>
          <w:rFonts w:ascii="Times New Roman" w:hAnsi="Times New Roman"/>
          <w:b w:val="0"/>
        </w:rPr>
        <w:t>Any solution under Option 2 has impact on AMF and should be verified by SA2</w:t>
      </w:r>
      <w:r>
        <w:rPr>
          <w:rFonts w:ascii="Times New Roman" w:hAnsi="Times New Roman"/>
          <w:b w:val="0"/>
        </w:rPr>
        <w:t xml:space="preserve">. </w:t>
      </w:r>
    </w:p>
    <w:p w14:paraId="17200149" w14:textId="5E8CF6ED" w:rsidR="00E52671" w:rsidRDefault="00E52671" w:rsidP="00E52671">
      <w:pPr>
        <w:pStyle w:val="Agreement"/>
        <w:numPr>
          <w:ilvl w:val="0"/>
          <w:numId w:val="31"/>
        </w:numPr>
        <w:rPr>
          <w:rFonts w:ascii="Times New Roman" w:hAnsi="Times New Roman"/>
          <w:b w:val="0"/>
        </w:rPr>
      </w:pPr>
      <w:r w:rsidRPr="00417977">
        <w:rPr>
          <w:rFonts w:ascii="Times New Roman" w:hAnsi="Times New Roman"/>
          <w:b w:val="0"/>
          <w:u w:val="single"/>
        </w:rPr>
        <w:t xml:space="preserve">Impact on </w:t>
      </w:r>
      <w:r>
        <w:rPr>
          <w:rFonts w:ascii="Times New Roman" w:hAnsi="Times New Roman"/>
          <w:b w:val="0"/>
          <w:u w:val="single"/>
        </w:rPr>
        <w:t>RAN</w:t>
      </w:r>
      <w:r w:rsidRPr="00417977">
        <w:rPr>
          <w:rFonts w:ascii="Times New Roman" w:hAnsi="Times New Roman"/>
          <w:b w:val="0"/>
          <w:u w:val="single"/>
        </w:rPr>
        <w:t>2</w:t>
      </w:r>
      <w:r>
        <w:rPr>
          <w:rFonts w:ascii="Times New Roman" w:hAnsi="Times New Roman"/>
          <w:b w:val="0"/>
        </w:rPr>
        <w:t xml:space="preserve">: </w:t>
      </w:r>
      <w:r w:rsidR="00592758">
        <w:rPr>
          <w:rFonts w:ascii="Times New Roman" w:hAnsi="Times New Roman"/>
          <w:b w:val="0"/>
        </w:rPr>
        <w:t>RAN3 should inform RAN2</w:t>
      </w:r>
      <w:r w:rsidR="00F37FF3">
        <w:rPr>
          <w:rFonts w:ascii="Times New Roman" w:hAnsi="Times New Roman"/>
          <w:b w:val="0"/>
        </w:rPr>
        <w:t xml:space="preserve"> if</w:t>
      </w:r>
      <w:r w:rsidR="00592758">
        <w:rPr>
          <w:rFonts w:ascii="Times New Roman" w:hAnsi="Times New Roman"/>
          <w:b w:val="0"/>
        </w:rPr>
        <w:t xml:space="preserve"> it decides to support this option.</w:t>
      </w:r>
    </w:p>
    <w:p w14:paraId="6407FB51" w14:textId="616218C3" w:rsidR="007C3795" w:rsidRDefault="007C3795" w:rsidP="00FB2598"/>
    <w:p w14:paraId="03F4AE93" w14:textId="3B7E1B64" w:rsidR="00D14A4C" w:rsidRPr="003A2637" w:rsidRDefault="00D14A4C" w:rsidP="00D14A4C">
      <w:pPr>
        <w:rPr>
          <w:b/>
          <w:bCs/>
        </w:rPr>
      </w:pPr>
      <w:r w:rsidRPr="003A2637">
        <w:rPr>
          <w:b/>
          <w:bCs/>
        </w:rPr>
        <w:lastRenderedPageBreak/>
        <w:t xml:space="preserve">Observation </w:t>
      </w:r>
      <w:r w:rsidR="006C4F2C">
        <w:rPr>
          <w:b/>
          <w:bCs/>
        </w:rPr>
        <w:t>4</w:t>
      </w:r>
      <w:r w:rsidRPr="003A2637">
        <w:rPr>
          <w:b/>
          <w:bCs/>
        </w:rPr>
        <w:t>-</w:t>
      </w:r>
      <w:r w:rsidR="006C4F2C">
        <w:rPr>
          <w:b/>
          <w:bCs/>
        </w:rPr>
        <w:t>2</w:t>
      </w:r>
      <w:r w:rsidRPr="003A2637">
        <w:rPr>
          <w:b/>
          <w:bCs/>
        </w:rPr>
        <w:t xml:space="preserve">: </w:t>
      </w:r>
      <w:r w:rsidR="00BB25F9">
        <w:rPr>
          <w:b/>
          <w:bCs/>
        </w:rPr>
        <w:t xml:space="preserve">For static </w:t>
      </w:r>
      <w:r>
        <w:rPr>
          <w:b/>
          <w:bCs/>
        </w:rPr>
        <w:t>TAC</w:t>
      </w:r>
      <w:r w:rsidR="00BB25F9">
        <w:rPr>
          <w:b/>
          <w:bCs/>
        </w:rPr>
        <w:t>, multiple issues need to be addressed such as AMF update of TAC</w:t>
      </w:r>
      <w:r w:rsidR="00865FAA">
        <w:rPr>
          <w:b/>
          <w:bCs/>
        </w:rPr>
        <w:t>-to-</w:t>
      </w:r>
      <w:proofErr w:type="spellStart"/>
      <w:r w:rsidR="00865FAA">
        <w:rPr>
          <w:b/>
          <w:bCs/>
        </w:rPr>
        <w:t>gNB</w:t>
      </w:r>
      <w:proofErr w:type="spellEnd"/>
      <w:r w:rsidR="00865FAA">
        <w:rPr>
          <w:b/>
          <w:bCs/>
        </w:rPr>
        <w:t xml:space="preserve"> mapping</w:t>
      </w:r>
      <w:r w:rsidR="00BB25F9">
        <w:rPr>
          <w:b/>
          <w:bCs/>
        </w:rPr>
        <w:t>, identification of the AMFs affected</w:t>
      </w:r>
      <w:r w:rsidR="00865FAA">
        <w:rPr>
          <w:b/>
          <w:bCs/>
        </w:rPr>
        <w:t xml:space="preserve"> for this update</w:t>
      </w:r>
      <w:r w:rsidR="00BB25F9">
        <w:rPr>
          <w:b/>
          <w:bCs/>
        </w:rPr>
        <w:t>, and AMF relocation for idle/inactive UEs when the IAB-node leaves the A</w:t>
      </w:r>
      <w:r w:rsidR="00865FAA">
        <w:rPr>
          <w:b/>
          <w:bCs/>
        </w:rPr>
        <w:t>M</w:t>
      </w:r>
      <w:r w:rsidR="00BB25F9">
        <w:rPr>
          <w:b/>
          <w:bCs/>
        </w:rPr>
        <w:t>F</w:t>
      </w:r>
      <w:r w:rsidR="00865FAA">
        <w:rPr>
          <w:b/>
          <w:bCs/>
        </w:rPr>
        <w:t>’s</w:t>
      </w:r>
      <w:r w:rsidR="00BB25F9">
        <w:rPr>
          <w:b/>
          <w:bCs/>
        </w:rPr>
        <w:t xml:space="preserve"> coverage area</w:t>
      </w:r>
      <w:r>
        <w:rPr>
          <w:b/>
          <w:bCs/>
        </w:rPr>
        <w:t>.</w:t>
      </w:r>
    </w:p>
    <w:p w14:paraId="7E38A633" w14:textId="4EB51DE5" w:rsidR="00592758" w:rsidRDefault="000D18DF" w:rsidP="00FB2598">
      <w:r>
        <w:t>The above observations indicate that more discussion in RAN3 is needed.</w:t>
      </w:r>
    </w:p>
    <w:p w14:paraId="0B5CD8C5" w14:textId="260A7373" w:rsidR="00D14A4C" w:rsidRPr="00592758" w:rsidRDefault="00BB25F9" w:rsidP="00865FAA">
      <w:pPr>
        <w:spacing w:after="120"/>
        <w:rPr>
          <w:b/>
          <w:bCs/>
        </w:rPr>
      </w:pPr>
      <w:r w:rsidRPr="00592758">
        <w:rPr>
          <w:b/>
          <w:bCs/>
        </w:rPr>
        <w:t xml:space="preserve">Proposal </w:t>
      </w:r>
      <w:r w:rsidR="006C4F2C">
        <w:rPr>
          <w:b/>
          <w:bCs/>
        </w:rPr>
        <w:t>4</w:t>
      </w:r>
      <w:r w:rsidRPr="00592758">
        <w:rPr>
          <w:b/>
          <w:bCs/>
        </w:rPr>
        <w:t>-</w:t>
      </w:r>
      <w:r w:rsidR="006C4F2C">
        <w:rPr>
          <w:b/>
          <w:bCs/>
        </w:rPr>
        <w:t>1</w:t>
      </w:r>
      <w:r w:rsidRPr="00592758">
        <w:rPr>
          <w:b/>
          <w:bCs/>
        </w:rPr>
        <w:t xml:space="preserve">: </w:t>
      </w:r>
      <w:r w:rsidR="00865FAA">
        <w:rPr>
          <w:b/>
          <w:bCs/>
        </w:rPr>
        <w:t>F</w:t>
      </w:r>
      <w:r w:rsidR="00865FAA" w:rsidRPr="00592758">
        <w:rPr>
          <w:b/>
          <w:bCs/>
        </w:rPr>
        <w:t>or TAC handling</w:t>
      </w:r>
      <w:r w:rsidR="00865FAA">
        <w:rPr>
          <w:b/>
          <w:bCs/>
        </w:rPr>
        <w:t>,</w:t>
      </w:r>
      <w:r w:rsidR="00865FAA" w:rsidRPr="00592758">
        <w:rPr>
          <w:b/>
          <w:bCs/>
        </w:rPr>
        <w:t xml:space="preserve"> </w:t>
      </w:r>
      <w:r w:rsidR="00592758" w:rsidRPr="00592758">
        <w:rPr>
          <w:b/>
          <w:bCs/>
        </w:rPr>
        <w:t>RAN3 to discuss:</w:t>
      </w:r>
    </w:p>
    <w:p w14:paraId="087D3F8E" w14:textId="328112F7" w:rsidR="00592758" w:rsidRPr="00592758" w:rsidRDefault="00592758" w:rsidP="00865FAA">
      <w:pPr>
        <w:pStyle w:val="ListParagraph"/>
        <w:numPr>
          <w:ilvl w:val="0"/>
          <w:numId w:val="36"/>
        </w:numPr>
        <w:spacing w:after="120"/>
        <w:contextualSpacing w:val="0"/>
        <w:rPr>
          <w:b/>
          <w:bCs/>
        </w:rPr>
      </w:pPr>
      <w:r w:rsidRPr="00592758">
        <w:rPr>
          <w:b/>
          <w:bCs/>
        </w:rPr>
        <w:t xml:space="preserve">For option 1, how dynamic TAC </w:t>
      </w:r>
      <w:r w:rsidR="00870F1B">
        <w:rPr>
          <w:b/>
          <w:bCs/>
        </w:rPr>
        <w:t>reconfiguration</w:t>
      </w:r>
      <w:r w:rsidRPr="00592758">
        <w:rPr>
          <w:b/>
          <w:bCs/>
        </w:rPr>
        <w:t xml:space="preserve"> is performed, and whether the signalling storm cause</w:t>
      </w:r>
      <w:r w:rsidR="00865FAA">
        <w:rPr>
          <w:b/>
          <w:bCs/>
        </w:rPr>
        <w:t>d</w:t>
      </w:r>
      <w:r w:rsidRPr="00592758">
        <w:rPr>
          <w:b/>
          <w:bCs/>
        </w:rPr>
        <w:t xml:space="preserve"> by the TAC update </w:t>
      </w:r>
      <w:r w:rsidR="00865FAA">
        <w:rPr>
          <w:b/>
          <w:bCs/>
        </w:rPr>
        <w:t>is</w:t>
      </w:r>
      <w:r w:rsidRPr="00592758">
        <w:rPr>
          <w:b/>
          <w:bCs/>
        </w:rPr>
        <w:t xml:space="preserve"> critical.</w:t>
      </w:r>
    </w:p>
    <w:p w14:paraId="23DA704C" w14:textId="5910784D" w:rsidR="0096408F" w:rsidRPr="00592758" w:rsidRDefault="00592758" w:rsidP="00865FAA">
      <w:pPr>
        <w:pStyle w:val="ListParagraph"/>
        <w:numPr>
          <w:ilvl w:val="0"/>
          <w:numId w:val="36"/>
        </w:numPr>
        <w:spacing w:after="120"/>
        <w:contextualSpacing w:val="0"/>
        <w:rPr>
          <w:b/>
          <w:bCs/>
        </w:rPr>
      </w:pPr>
      <w:r w:rsidRPr="00592758">
        <w:rPr>
          <w:b/>
          <w:bCs/>
        </w:rPr>
        <w:t xml:space="preserve">For option 2, how the UEs’ AMFs are updated with the </w:t>
      </w:r>
      <w:r w:rsidR="00527A53">
        <w:rPr>
          <w:b/>
          <w:bCs/>
        </w:rPr>
        <w:t>TAC-to-</w:t>
      </w:r>
      <w:proofErr w:type="spellStart"/>
      <w:r w:rsidR="00527A53">
        <w:rPr>
          <w:b/>
          <w:bCs/>
        </w:rPr>
        <w:t>gNB</w:t>
      </w:r>
      <w:proofErr w:type="spellEnd"/>
      <w:r w:rsidR="00527A53">
        <w:rPr>
          <w:b/>
          <w:bCs/>
        </w:rPr>
        <w:t xml:space="preserve"> mapping</w:t>
      </w:r>
      <w:r w:rsidRPr="00592758">
        <w:rPr>
          <w:b/>
          <w:bCs/>
        </w:rPr>
        <w:t xml:space="preserve">, how these AMFs are identified, and how AMF relocation for idle/inactive UEs is performed when the IAB-node leaves the AMF coverage area. </w:t>
      </w:r>
    </w:p>
    <w:p w14:paraId="6449E676" w14:textId="7B63CEEC" w:rsidR="000D18DF" w:rsidRPr="000D18DF" w:rsidRDefault="000D18DF" w:rsidP="00865FAA">
      <w:pPr>
        <w:spacing w:after="120"/>
        <w:rPr>
          <w:b/>
          <w:bCs/>
        </w:rPr>
      </w:pPr>
      <w:r w:rsidRPr="000D18DF">
        <w:rPr>
          <w:b/>
          <w:bCs/>
        </w:rPr>
        <w:t xml:space="preserve">Proposal </w:t>
      </w:r>
      <w:r w:rsidR="006C4F2C">
        <w:rPr>
          <w:b/>
          <w:bCs/>
        </w:rPr>
        <w:t>4</w:t>
      </w:r>
      <w:r w:rsidRPr="000D18DF">
        <w:rPr>
          <w:b/>
          <w:bCs/>
        </w:rPr>
        <w:t>-</w:t>
      </w:r>
      <w:r w:rsidR="006C4F2C">
        <w:rPr>
          <w:b/>
          <w:bCs/>
        </w:rPr>
        <w:t>2</w:t>
      </w:r>
      <w:r w:rsidRPr="000D18DF">
        <w:rPr>
          <w:b/>
          <w:bCs/>
        </w:rPr>
        <w:t xml:space="preserve">: RAN3 to </w:t>
      </w:r>
      <w:r>
        <w:rPr>
          <w:b/>
          <w:bCs/>
        </w:rPr>
        <w:t xml:space="preserve">inform RAN2 and SA2 </w:t>
      </w:r>
      <w:r w:rsidR="00527A53">
        <w:rPr>
          <w:b/>
          <w:bCs/>
        </w:rPr>
        <w:t>about the outcome of this discussion.</w:t>
      </w:r>
    </w:p>
    <w:p w14:paraId="1F182B20" w14:textId="77777777" w:rsidR="009D5E69" w:rsidRDefault="009D5E69" w:rsidP="009D5E69">
      <w:pPr>
        <w:pStyle w:val="Agreement"/>
        <w:numPr>
          <w:ilvl w:val="0"/>
          <w:numId w:val="0"/>
        </w:numPr>
        <w:ind w:left="360" w:hanging="360"/>
        <w:rPr>
          <w:rFonts w:ascii="Times New Roman" w:hAnsi="Times New Roman"/>
          <w:u w:val="single"/>
        </w:rPr>
      </w:pPr>
    </w:p>
    <w:p w14:paraId="6CDA7336" w14:textId="5E80C941" w:rsidR="009D5E69" w:rsidRPr="00B9515D" w:rsidRDefault="009D5E69" w:rsidP="006C4F2C">
      <w:pPr>
        <w:pStyle w:val="Agreement"/>
        <w:numPr>
          <w:ilvl w:val="0"/>
          <w:numId w:val="0"/>
        </w:numPr>
        <w:spacing w:before="0" w:after="120"/>
        <w:ind w:left="360" w:hanging="360"/>
        <w:rPr>
          <w:rFonts w:ascii="Times New Roman" w:hAnsi="Times New Roman"/>
        </w:rPr>
      </w:pPr>
      <w:r w:rsidRPr="00B9515D">
        <w:rPr>
          <w:rFonts w:ascii="Times New Roman" w:hAnsi="Times New Roman"/>
          <w:u w:val="single"/>
        </w:rPr>
        <w:t xml:space="preserve">Issue </w:t>
      </w:r>
      <w:r>
        <w:rPr>
          <w:rFonts w:ascii="Times New Roman" w:hAnsi="Times New Roman"/>
          <w:u w:val="single"/>
        </w:rPr>
        <w:t>5</w:t>
      </w:r>
      <w:r w:rsidRPr="00B9515D">
        <w:rPr>
          <w:rFonts w:ascii="Times New Roman" w:hAnsi="Times New Roman"/>
          <w:u w:val="single"/>
        </w:rPr>
        <w:t xml:space="preserve">: </w:t>
      </w:r>
      <w:r w:rsidR="00502FEE">
        <w:rPr>
          <w:rFonts w:ascii="Times New Roman" w:hAnsi="Times New Roman"/>
          <w:u w:val="single"/>
        </w:rPr>
        <w:t>Dynamic vs. static RANAC</w:t>
      </w:r>
      <w:r w:rsidR="00502FEE" w:rsidRPr="00B9515D">
        <w:rPr>
          <w:rFonts w:ascii="Times New Roman" w:hAnsi="Times New Roman"/>
          <w:u w:val="single"/>
        </w:rPr>
        <w:t xml:space="preserve"> during inter-donor DU migration</w:t>
      </w:r>
    </w:p>
    <w:p w14:paraId="1A8E86F7" w14:textId="3287C7AD" w:rsidR="009D5E69" w:rsidRDefault="009D5E69" w:rsidP="0096408F">
      <w:pPr>
        <w:spacing w:after="0"/>
      </w:pPr>
      <w:r>
        <w:t>For RANAC, the same two options apply as for TAC:</w:t>
      </w:r>
    </w:p>
    <w:p w14:paraId="1BB1AF6D" w14:textId="5489B265" w:rsidR="009D5E69" w:rsidRPr="00C05C88" w:rsidRDefault="009D5E69" w:rsidP="009D5E69">
      <w:pPr>
        <w:pStyle w:val="Agreement"/>
        <w:numPr>
          <w:ilvl w:val="0"/>
          <w:numId w:val="0"/>
        </w:numPr>
        <w:ind w:left="360" w:hanging="360"/>
        <w:rPr>
          <w:rFonts w:ascii="Times New Roman" w:hAnsi="Times New Roman"/>
          <w:b w:val="0"/>
        </w:rPr>
      </w:pPr>
      <w:r w:rsidRPr="00B9515D">
        <w:rPr>
          <w:rFonts w:ascii="Times New Roman" w:hAnsi="Times New Roman"/>
          <w:bCs/>
        </w:rPr>
        <w:t xml:space="preserve">Option 1: </w:t>
      </w:r>
      <w:r>
        <w:rPr>
          <w:rFonts w:ascii="Times New Roman" w:hAnsi="Times New Roman"/>
          <w:b w:val="0"/>
        </w:rPr>
        <w:t>RANAC</w:t>
      </w:r>
      <w:r w:rsidRPr="00C05C88">
        <w:rPr>
          <w:rFonts w:ascii="Times New Roman" w:hAnsi="Times New Roman"/>
          <w:b w:val="0"/>
        </w:rPr>
        <w:t xml:space="preserve"> can be dynamically changed to follow the surrounding network </w:t>
      </w:r>
    </w:p>
    <w:p w14:paraId="0AA39A47" w14:textId="31BD369A" w:rsidR="009D5E69" w:rsidRPr="00634704" w:rsidRDefault="009D5E69" w:rsidP="009D5E69">
      <w:pPr>
        <w:pStyle w:val="Agreement"/>
        <w:numPr>
          <w:ilvl w:val="0"/>
          <w:numId w:val="0"/>
        </w:numPr>
        <w:ind w:left="360" w:hanging="360"/>
        <w:rPr>
          <w:rFonts w:ascii="Times New Roman" w:hAnsi="Times New Roman"/>
          <w:bCs/>
        </w:rPr>
      </w:pPr>
      <w:r w:rsidRPr="00634704">
        <w:rPr>
          <w:rFonts w:ascii="Times New Roman" w:hAnsi="Times New Roman"/>
          <w:bCs/>
        </w:rPr>
        <w:t xml:space="preserve">Option 2: </w:t>
      </w:r>
      <w:r>
        <w:rPr>
          <w:rFonts w:ascii="Times New Roman" w:hAnsi="Times New Roman"/>
          <w:b w:val="0"/>
        </w:rPr>
        <w:t>RANAC</w:t>
      </w:r>
      <w:r w:rsidRPr="00C05C88">
        <w:rPr>
          <w:rFonts w:ascii="Times New Roman" w:hAnsi="Times New Roman"/>
          <w:b w:val="0"/>
        </w:rPr>
        <w:t xml:space="preserve"> is static and does not follow the surrounding network</w:t>
      </w:r>
    </w:p>
    <w:p w14:paraId="1E0407F3" w14:textId="42E49227" w:rsidR="009D5E69" w:rsidRDefault="009D5E69" w:rsidP="0096408F">
      <w:pPr>
        <w:spacing w:after="0"/>
      </w:pPr>
    </w:p>
    <w:p w14:paraId="55C7C4B3" w14:textId="0C20E6EB" w:rsidR="009D5E69" w:rsidRDefault="009D5E69" w:rsidP="0078062A">
      <w:r>
        <w:t xml:space="preserve">On </w:t>
      </w:r>
      <w:r w:rsidR="0078062A">
        <w:t>O</w:t>
      </w:r>
      <w:r>
        <w:t xml:space="preserve">ption 1: The same issues apply as for </w:t>
      </w:r>
      <w:r w:rsidR="0078062A">
        <w:t>dynamic TAC update.</w:t>
      </w:r>
    </w:p>
    <w:p w14:paraId="47235170" w14:textId="1E6744B8" w:rsidR="00870F1B" w:rsidRPr="003A2637" w:rsidRDefault="00870F1B" w:rsidP="00870F1B">
      <w:pPr>
        <w:rPr>
          <w:b/>
          <w:bCs/>
        </w:rPr>
      </w:pPr>
      <w:r w:rsidRPr="003A2637">
        <w:rPr>
          <w:b/>
          <w:bCs/>
        </w:rPr>
        <w:t xml:space="preserve">Observation </w:t>
      </w:r>
      <w:r w:rsidR="006C4F2C">
        <w:rPr>
          <w:b/>
          <w:bCs/>
        </w:rPr>
        <w:t>5</w:t>
      </w:r>
      <w:r w:rsidRPr="003A2637">
        <w:rPr>
          <w:b/>
          <w:bCs/>
        </w:rPr>
        <w:t>-</w:t>
      </w:r>
      <w:r w:rsidR="006C4F2C">
        <w:rPr>
          <w:b/>
          <w:bCs/>
        </w:rPr>
        <w:t>1</w:t>
      </w:r>
      <w:r w:rsidRPr="003A2637">
        <w:rPr>
          <w:b/>
          <w:bCs/>
        </w:rPr>
        <w:t xml:space="preserve">: </w:t>
      </w:r>
      <w:r>
        <w:rPr>
          <w:b/>
          <w:bCs/>
        </w:rPr>
        <w:t>Dynamic RANAC has the same issues as dynamic TAC.</w:t>
      </w:r>
    </w:p>
    <w:p w14:paraId="0FE99D24" w14:textId="4A9512A6" w:rsidR="0078062A" w:rsidRPr="00BC3BE9" w:rsidRDefault="0078062A" w:rsidP="00BC3BE9">
      <w:r>
        <w:t xml:space="preserve">On Option 2: </w:t>
      </w:r>
      <w:r w:rsidR="00870F1B" w:rsidRPr="00BC3BE9">
        <w:t xml:space="preserve">The UE includes the I-RNTI in the RRC Resume Request to the new CU, which is used to identify the UE’s old CU. The I-RNTI-to-CU mapping is based on configuration within the RNA. In case the IAB-node moves out of the RNA, the new CU may not be able to resolve the old CU from the I-RNTI. This </w:t>
      </w:r>
      <w:r w:rsidR="00502FEE" w:rsidRPr="00BC3BE9">
        <w:t>issue has RAN2 impact</w:t>
      </w:r>
      <w:r w:rsidR="00870F1B" w:rsidRPr="00BC3BE9">
        <w:t xml:space="preserve">. </w:t>
      </w:r>
    </w:p>
    <w:p w14:paraId="7274C70C" w14:textId="5F3843CF" w:rsidR="00870F1B" w:rsidRPr="003A2637" w:rsidRDefault="00870F1B" w:rsidP="00870F1B">
      <w:pPr>
        <w:rPr>
          <w:b/>
          <w:bCs/>
        </w:rPr>
      </w:pPr>
      <w:r w:rsidRPr="003A2637">
        <w:rPr>
          <w:b/>
          <w:bCs/>
        </w:rPr>
        <w:t xml:space="preserve">Observation </w:t>
      </w:r>
      <w:r w:rsidR="006C4F2C">
        <w:rPr>
          <w:b/>
          <w:bCs/>
        </w:rPr>
        <w:t>5</w:t>
      </w:r>
      <w:r w:rsidRPr="003A2637">
        <w:rPr>
          <w:b/>
          <w:bCs/>
        </w:rPr>
        <w:t>-</w:t>
      </w:r>
      <w:r w:rsidR="006C4F2C">
        <w:rPr>
          <w:b/>
          <w:bCs/>
        </w:rPr>
        <w:t>2</w:t>
      </w:r>
      <w:r w:rsidRPr="003A2637">
        <w:rPr>
          <w:b/>
          <w:bCs/>
        </w:rPr>
        <w:t xml:space="preserve">: </w:t>
      </w:r>
      <w:r>
        <w:rPr>
          <w:b/>
          <w:bCs/>
        </w:rPr>
        <w:t xml:space="preserve">Static RANAC may not be resolvable if the UE resumes outside the original RNA. </w:t>
      </w:r>
      <w:r w:rsidR="00502FEE">
        <w:rPr>
          <w:b/>
          <w:bCs/>
        </w:rPr>
        <w:t>This issue has RAN2 impact.</w:t>
      </w:r>
    </w:p>
    <w:p w14:paraId="68E04250" w14:textId="45AC5D27" w:rsidR="00870F1B" w:rsidRDefault="00870F1B" w:rsidP="00870F1B">
      <w:r>
        <w:t xml:space="preserve">The above observations indicate that </w:t>
      </w:r>
      <w:r w:rsidR="00502FEE">
        <w:t>the RANAC discussion depends on the outcome of the TAC discussion. The RANAC discussion further has RAN2 impact. RAN3 may want to discuss RANAC-related issues after progress has been made with the TAC discussion.</w:t>
      </w:r>
    </w:p>
    <w:p w14:paraId="4DB3FBF7" w14:textId="5F6B43F8" w:rsidR="00502FEE" w:rsidRDefault="00502FEE" w:rsidP="00502FEE">
      <w:pPr>
        <w:rPr>
          <w:b/>
          <w:bCs/>
        </w:rPr>
      </w:pPr>
      <w:r w:rsidRPr="00592758">
        <w:rPr>
          <w:b/>
          <w:bCs/>
        </w:rPr>
        <w:t xml:space="preserve">Proposal </w:t>
      </w:r>
      <w:r w:rsidR="006C4F2C">
        <w:rPr>
          <w:b/>
          <w:bCs/>
        </w:rPr>
        <w:t>5</w:t>
      </w:r>
      <w:r w:rsidRPr="00592758">
        <w:rPr>
          <w:b/>
          <w:bCs/>
        </w:rPr>
        <w:t xml:space="preserve">: RAN3 </w:t>
      </w:r>
      <w:r>
        <w:rPr>
          <w:b/>
          <w:bCs/>
        </w:rPr>
        <w:t>to discuss the handling of RANAC after the discussion on the TAC handling has converged.</w:t>
      </w:r>
    </w:p>
    <w:p w14:paraId="237215E9" w14:textId="77777777" w:rsidR="005B1071" w:rsidRPr="000D18DF" w:rsidRDefault="005B1071" w:rsidP="00502FEE">
      <w:pPr>
        <w:rPr>
          <w:b/>
          <w:bCs/>
        </w:rPr>
      </w:pPr>
    </w:p>
    <w:p w14:paraId="541D1C11" w14:textId="2B016CE0" w:rsidR="005B1071" w:rsidRDefault="005B1071" w:rsidP="005B1071">
      <w:pPr>
        <w:pStyle w:val="Heading1"/>
      </w:pPr>
      <w:r>
        <w:t>3</w:t>
      </w:r>
      <w:r w:rsidRPr="00320A6B">
        <w:tab/>
      </w:r>
      <w:r>
        <w:t>Conclusion</w:t>
      </w:r>
    </w:p>
    <w:p w14:paraId="710AD2F6" w14:textId="6FF702E2" w:rsidR="005B1071" w:rsidRDefault="005B1071" w:rsidP="005B1071">
      <w:pPr>
        <w:spacing w:after="0"/>
      </w:pPr>
      <w:r>
        <w:t>This contribution has discussed e</w:t>
      </w:r>
      <w:r w:rsidRPr="005B1071">
        <w:t xml:space="preserve">nhancements for mobility of IAB-node and </w:t>
      </w:r>
      <w:proofErr w:type="gramStart"/>
      <w:r w:rsidRPr="005B1071">
        <w:t>its</w:t>
      </w:r>
      <w:proofErr w:type="gramEnd"/>
      <w:r w:rsidRPr="005B1071">
        <w:t xml:space="preserve"> served UEs</w:t>
      </w:r>
      <w:r>
        <w:t>. The following observations and proposals have been made:</w:t>
      </w:r>
    </w:p>
    <w:p w14:paraId="72368AE4" w14:textId="77777777" w:rsidR="005B1071" w:rsidRDefault="005B1071" w:rsidP="005B1071">
      <w:pPr>
        <w:spacing w:after="0"/>
      </w:pPr>
    </w:p>
    <w:p w14:paraId="0B592C2D" w14:textId="366E3C5C" w:rsidR="00085D97" w:rsidRPr="00085D97" w:rsidRDefault="00085D97" w:rsidP="00085D97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 w:val="0"/>
          <w:u w:val="single"/>
        </w:rPr>
      </w:pPr>
      <w:r w:rsidRPr="00085D97">
        <w:rPr>
          <w:rFonts w:ascii="Times New Roman" w:hAnsi="Times New Roman"/>
          <w:b w:val="0"/>
          <w:u w:val="single"/>
        </w:rPr>
        <w:t>Mobile IAB-node configuration:</w:t>
      </w:r>
    </w:p>
    <w:p w14:paraId="51889E70" w14:textId="1F0E86E1" w:rsidR="00085D97" w:rsidRPr="00A3797F" w:rsidRDefault="00085D97" w:rsidP="00085D97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Observation</w:t>
      </w:r>
      <w:r w:rsidRPr="00A3797F">
        <w:rPr>
          <w:rFonts w:ascii="Times New Roman" w:hAnsi="Times New Roman"/>
          <w:bCs/>
        </w:rPr>
        <w:t xml:space="preserve"> 1-1: All information </w:t>
      </w:r>
      <w:r w:rsidRPr="00821CC7">
        <w:rPr>
          <w:rFonts w:ascii="Times New Roman" w:hAnsi="Times New Roman"/>
          <w:bCs/>
        </w:rPr>
        <w:t xml:space="preserve">shared between </w:t>
      </w:r>
      <w:r>
        <w:rPr>
          <w:rFonts w:ascii="Times New Roman" w:hAnsi="Times New Roman"/>
          <w:bCs/>
        </w:rPr>
        <w:t xml:space="preserve">the </w:t>
      </w:r>
      <w:r w:rsidRPr="00821CC7">
        <w:rPr>
          <w:rFonts w:ascii="Times New Roman" w:hAnsi="Times New Roman"/>
          <w:bCs/>
        </w:rPr>
        <w:t>two logical DUs</w:t>
      </w:r>
      <w:r w:rsidRPr="00A3797F">
        <w:rPr>
          <w:rFonts w:ascii="Times New Roman" w:hAnsi="Times New Roman"/>
          <w:bCs/>
        </w:rPr>
        <w:t xml:space="preserve"> needs to be reported </w:t>
      </w:r>
      <w:r>
        <w:rPr>
          <w:rFonts w:ascii="Times New Roman" w:hAnsi="Times New Roman"/>
          <w:bCs/>
        </w:rPr>
        <w:t>by the target logical DU in the F1 Setup Request to the target donor</w:t>
      </w:r>
      <w:r w:rsidRPr="00A3797F">
        <w:rPr>
          <w:rFonts w:ascii="Times New Roman" w:hAnsi="Times New Roman"/>
          <w:bCs/>
        </w:rPr>
        <w:t xml:space="preserve">. </w:t>
      </w:r>
    </w:p>
    <w:p w14:paraId="0133108C" w14:textId="77777777" w:rsidR="00085D97" w:rsidRPr="00A3797F" w:rsidRDefault="00085D97" w:rsidP="00085D97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Proposal 1</w:t>
      </w:r>
      <w:r w:rsidRPr="00A3797F">
        <w:rPr>
          <w:rFonts w:ascii="Times New Roman" w:hAnsi="Times New Roman"/>
          <w:bCs/>
        </w:rPr>
        <w:t xml:space="preserve">: </w:t>
      </w:r>
      <w:r>
        <w:rPr>
          <w:rFonts w:ascii="Times New Roman" w:hAnsi="Times New Roman"/>
          <w:bCs/>
        </w:rPr>
        <w:t xml:space="preserve">The two logical DUs to only </w:t>
      </w:r>
      <w:r w:rsidRPr="00821CC7">
        <w:rPr>
          <w:rFonts w:ascii="Times New Roman" w:hAnsi="Times New Roman"/>
          <w:bCs/>
        </w:rPr>
        <w:t>share</w:t>
      </w:r>
      <w:r>
        <w:rPr>
          <w:rFonts w:ascii="Times New Roman" w:hAnsi="Times New Roman"/>
          <w:bCs/>
        </w:rPr>
        <w:t xml:space="preserve"> information that is reported by the target logical DU in the F1 Setup Request to the target donor.</w:t>
      </w:r>
      <w:r w:rsidRPr="00A3797F">
        <w:rPr>
          <w:rFonts w:ascii="Times New Roman" w:hAnsi="Times New Roman"/>
          <w:bCs/>
        </w:rPr>
        <w:t xml:space="preserve"> </w:t>
      </w:r>
    </w:p>
    <w:p w14:paraId="27FAF971" w14:textId="41830C8D" w:rsidR="00502FEE" w:rsidRDefault="00502FEE" w:rsidP="00870F1B"/>
    <w:p w14:paraId="2422213B" w14:textId="50FF6A86" w:rsidR="00085D97" w:rsidRPr="00085D97" w:rsidRDefault="00085D97" w:rsidP="00085D97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 w:val="0"/>
          <w:u w:val="single"/>
        </w:rPr>
      </w:pPr>
      <w:r>
        <w:rPr>
          <w:rFonts w:ascii="Times New Roman" w:hAnsi="Times New Roman"/>
          <w:b w:val="0"/>
          <w:u w:val="single"/>
        </w:rPr>
        <w:t>UE handover to target mobile IAB-node</w:t>
      </w:r>
      <w:r w:rsidRPr="00085D97">
        <w:rPr>
          <w:rFonts w:ascii="Times New Roman" w:hAnsi="Times New Roman"/>
          <w:b w:val="0"/>
          <w:u w:val="single"/>
        </w:rPr>
        <w:t>:</w:t>
      </w:r>
    </w:p>
    <w:p w14:paraId="4E9004B4" w14:textId="77777777" w:rsidR="00085D97" w:rsidRPr="000B3277" w:rsidRDefault="00085D97" w:rsidP="00085D97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 w:rsidRPr="000B3277">
        <w:rPr>
          <w:rFonts w:ascii="Times New Roman" w:hAnsi="Times New Roman"/>
          <w:bCs/>
        </w:rPr>
        <w:t>Observations 2</w:t>
      </w:r>
      <w:r>
        <w:rPr>
          <w:rFonts w:ascii="Times New Roman" w:hAnsi="Times New Roman"/>
          <w:bCs/>
        </w:rPr>
        <w:t>-1</w:t>
      </w:r>
      <w:r w:rsidRPr="000B3277">
        <w:rPr>
          <w:rFonts w:ascii="Times New Roman" w:hAnsi="Times New Roman"/>
          <w:bCs/>
        </w:rPr>
        <w:t xml:space="preserve">: The UE’s CU can perform more intelligent handover decisions if it knows that a candidate target cell belongs to a mobile IAB-node.   </w:t>
      </w:r>
    </w:p>
    <w:p w14:paraId="77E64A61" w14:textId="77777777" w:rsidR="00085D97" w:rsidRPr="000B3277" w:rsidRDefault="00085D97" w:rsidP="00085D97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 w:rsidRPr="000B3277">
        <w:rPr>
          <w:rFonts w:ascii="Times New Roman" w:hAnsi="Times New Roman"/>
          <w:bCs/>
        </w:rPr>
        <w:t>Observations 2</w:t>
      </w:r>
      <w:r>
        <w:rPr>
          <w:rFonts w:ascii="Times New Roman" w:hAnsi="Times New Roman"/>
          <w:bCs/>
        </w:rPr>
        <w:t>-2</w:t>
      </w:r>
      <w:r w:rsidRPr="000B3277">
        <w:rPr>
          <w:rFonts w:ascii="Times New Roman" w:hAnsi="Times New Roman"/>
          <w:bCs/>
        </w:rPr>
        <w:t xml:space="preserve">: The UE’s CU can </w:t>
      </w:r>
      <w:r>
        <w:rPr>
          <w:rFonts w:ascii="Times New Roman" w:hAnsi="Times New Roman"/>
          <w:bCs/>
        </w:rPr>
        <w:t>apply differentiated policies for the establishment of dual connectivity</w:t>
      </w:r>
      <w:r w:rsidRPr="000B3277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in case</w:t>
      </w:r>
      <w:r w:rsidRPr="000B3277">
        <w:rPr>
          <w:rFonts w:ascii="Times New Roman" w:hAnsi="Times New Roman"/>
          <w:bCs/>
        </w:rPr>
        <w:t xml:space="preserve"> it knows that </w:t>
      </w:r>
      <w:r>
        <w:rPr>
          <w:rFonts w:ascii="Times New Roman" w:hAnsi="Times New Roman"/>
          <w:bCs/>
        </w:rPr>
        <w:t>the</w:t>
      </w:r>
      <w:r w:rsidRPr="000B3277">
        <w:rPr>
          <w:rFonts w:ascii="Times New Roman" w:hAnsi="Times New Roman"/>
          <w:bCs/>
        </w:rPr>
        <w:t xml:space="preserve"> candidate cell belongs to a mobile IAB-node</w:t>
      </w:r>
      <w:r>
        <w:rPr>
          <w:rFonts w:ascii="Times New Roman" w:hAnsi="Times New Roman"/>
          <w:bCs/>
        </w:rPr>
        <w:t xml:space="preserve"> vs. a stationary node</w:t>
      </w:r>
      <w:r w:rsidRPr="000B3277">
        <w:rPr>
          <w:rFonts w:ascii="Times New Roman" w:hAnsi="Times New Roman"/>
          <w:bCs/>
        </w:rPr>
        <w:t xml:space="preserve">.   </w:t>
      </w:r>
    </w:p>
    <w:p w14:paraId="4F36467C" w14:textId="77777777" w:rsidR="00085D97" w:rsidRPr="000B3277" w:rsidRDefault="00085D97" w:rsidP="00085D97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 w:rsidRPr="000B3277">
        <w:rPr>
          <w:rFonts w:ascii="Times New Roman" w:hAnsi="Times New Roman"/>
          <w:bCs/>
        </w:rPr>
        <w:lastRenderedPageBreak/>
        <w:t>Observations 2</w:t>
      </w:r>
      <w:r>
        <w:rPr>
          <w:rFonts w:ascii="Times New Roman" w:hAnsi="Times New Roman"/>
          <w:bCs/>
        </w:rPr>
        <w:t>-3</w:t>
      </w:r>
      <w:r w:rsidRPr="000B3277">
        <w:rPr>
          <w:rFonts w:ascii="Times New Roman" w:hAnsi="Times New Roman"/>
          <w:bCs/>
        </w:rPr>
        <w:t xml:space="preserve">: The UE’s CU </w:t>
      </w:r>
      <w:r>
        <w:rPr>
          <w:rFonts w:ascii="Times New Roman" w:hAnsi="Times New Roman"/>
          <w:bCs/>
        </w:rPr>
        <w:t>needs to know whether the target cell candidate belongs to a mobile IAB-node before making decisions on handover of SN addition</w:t>
      </w:r>
      <w:r w:rsidRPr="000B3277">
        <w:rPr>
          <w:rFonts w:ascii="Times New Roman" w:hAnsi="Times New Roman"/>
          <w:bCs/>
        </w:rPr>
        <w:t xml:space="preserve">.   </w:t>
      </w:r>
    </w:p>
    <w:p w14:paraId="1DB17CB5" w14:textId="77777777" w:rsidR="00085D97" w:rsidRPr="000B3277" w:rsidRDefault="00085D97" w:rsidP="00085D97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Proposal 2</w:t>
      </w:r>
      <w:r w:rsidRPr="000B3277">
        <w:rPr>
          <w:rFonts w:ascii="Times New Roman" w:hAnsi="Times New Roman"/>
          <w:bCs/>
        </w:rPr>
        <w:t xml:space="preserve">: The </w:t>
      </w:r>
      <w:r>
        <w:rPr>
          <w:rFonts w:ascii="Times New Roman" w:hAnsi="Times New Roman"/>
          <w:bCs/>
        </w:rPr>
        <w:t xml:space="preserve">“mobile IAB” indication to be included into the </w:t>
      </w:r>
      <w:proofErr w:type="spellStart"/>
      <w:r w:rsidRPr="00A61F80">
        <w:rPr>
          <w:rFonts w:ascii="Times New Roman" w:hAnsi="Times New Roman"/>
          <w:bCs/>
        </w:rPr>
        <w:t>Xn</w:t>
      </w:r>
      <w:proofErr w:type="spellEnd"/>
      <w:r w:rsidRPr="00A61F80">
        <w:rPr>
          <w:rFonts w:ascii="Times New Roman" w:hAnsi="Times New Roman"/>
          <w:bCs/>
        </w:rPr>
        <w:t xml:space="preserve"> SETUP procedures and</w:t>
      </w:r>
      <w:r>
        <w:rPr>
          <w:rFonts w:ascii="Times New Roman" w:hAnsi="Times New Roman"/>
          <w:bCs/>
        </w:rPr>
        <w:t xml:space="preserve"> </w:t>
      </w:r>
      <w:proofErr w:type="spellStart"/>
      <w:r w:rsidRPr="00A61F80">
        <w:rPr>
          <w:rFonts w:ascii="Times New Roman" w:hAnsi="Times New Roman"/>
          <w:bCs/>
        </w:rPr>
        <w:t>Xn</w:t>
      </w:r>
      <w:proofErr w:type="spellEnd"/>
      <w:r w:rsidRPr="00A61F80">
        <w:rPr>
          <w:rFonts w:ascii="Times New Roman" w:hAnsi="Times New Roman"/>
          <w:bCs/>
        </w:rPr>
        <w:t xml:space="preserve"> RAN NODE CONFIGURATION UPDATE procedures</w:t>
      </w:r>
      <w:r>
        <w:rPr>
          <w:rFonts w:ascii="Times New Roman" w:hAnsi="Times New Roman"/>
          <w:bCs/>
        </w:rPr>
        <w:t xml:space="preserve"> so that the UE’s CU can apply differentiated HO and DC policies when the candidate target cell belongs to a mobile IAB-node</w:t>
      </w:r>
      <w:r w:rsidRPr="000B3277">
        <w:rPr>
          <w:rFonts w:ascii="Times New Roman" w:hAnsi="Times New Roman"/>
          <w:bCs/>
        </w:rPr>
        <w:t xml:space="preserve">.   </w:t>
      </w:r>
    </w:p>
    <w:p w14:paraId="4ADE55D7" w14:textId="77777777" w:rsidR="00085D97" w:rsidRDefault="00085D97" w:rsidP="00870F1B"/>
    <w:p w14:paraId="26EFEB15" w14:textId="2BA68B26" w:rsidR="00085D97" w:rsidRPr="00085D97" w:rsidRDefault="00085D97" w:rsidP="00085D97">
      <w:pPr>
        <w:rPr>
          <w:u w:val="single"/>
        </w:rPr>
      </w:pPr>
      <w:r w:rsidRPr="00085D97">
        <w:rPr>
          <w:u w:val="single"/>
        </w:rPr>
        <w:t>UE location info:</w:t>
      </w:r>
    </w:p>
    <w:p w14:paraId="4F62D6F9" w14:textId="40E832C1" w:rsidR="00085D97" w:rsidRPr="003A2637" w:rsidRDefault="00085D97" w:rsidP="00085D97">
      <w:pPr>
        <w:rPr>
          <w:b/>
          <w:bCs/>
        </w:rPr>
      </w:pPr>
      <w:r w:rsidRPr="003A2637">
        <w:rPr>
          <w:b/>
          <w:bCs/>
        </w:rPr>
        <w:t xml:space="preserve">Observation 3-1: OAM-based configuration of the </w:t>
      </w:r>
      <w:r>
        <w:rPr>
          <w:b/>
          <w:bCs/>
        </w:rPr>
        <w:t xml:space="preserve">target logical </w:t>
      </w:r>
      <w:r w:rsidRPr="003A2637">
        <w:rPr>
          <w:b/>
          <w:bCs/>
        </w:rPr>
        <w:t>DU</w:t>
      </w:r>
      <w:r>
        <w:rPr>
          <w:b/>
          <w:bCs/>
        </w:rPr>
        <w:t>’s</w:t>
      </w:r>
      <w:r w:rsidRPr="003A2637">
        <w:rPr>
          <w:b/>
          <w:bCs/>
        </w:rPr>
        <w:t xml:space="preserve"> NCGI is </w:t>
      </w:r>
      <w:r>
        <w:rPr>
          <w:b/>
          <w:bCs/>
        </w:rPr>
        <w:t>im</w:t>
      </w:r>
      <w:r w:rsidRPr="003A2637">
        <w:rPr>
          <w:b/>
          <w:bCs/>
        </w:rPr>
        <w:t xml:space="preserve">practical as it does not scale </w:t>
      </w:r>
      <w:r>
        <w:rPr>
          <w:b/>
          <w:bCs/>
        </w:rPr>
        <w:t>for</w:t>
      </w:r>
      <w:r w:rsidRPr="003A2637">
        <w:rPr>
          <w:b/>
          <w:bCs/>
        </w:rPr>
        <w:t xml:space="preserve"> </w:t>
      </w:r>
      <w:r>
        <w:rPr>
          <w:b/>
          <w:bCs/>
        </w:rPr>
        <w:t xml:space="preserve">mobile IAB-nodes traveling over </w:t>
      </w:r>
      <w:r w:rsidRPr="003A2637">
        <w:rPr>
          <w:b/>
          <w:bCs/>
        </w:rPr>
        <w:t>large</w:t>
      </w:r>
      <w:r>
        <w:rPr>
          <w:b/>
          <w:bCs/>
        </w:rPr>
        <w:t>r</w:t>
      </w:r>
      <w:r w:rsidRPr="003A2637">
        <w:rPr>
          <w:b/>
          <w:bCs/>
        </w:rPr>
        <w:t xml:space="preserve"> </w:t>
      </w:r>
      <w:r>
        <w:rPr>
          <w:b/>
          <w:bCs/>
        </w:rPr>
        <w:t>distances, and it does not allow easy adaptation in case of parent node additions or reconfigurations.</w:t>
      </w:r>
    </w:p>
    <w:p w14:paraId="63429302" w14:textId="77777777" w:rsidR="00085D97" w:rsidRPr="003A2637" w:rsidRDefault="00085D97" w:rsidP="00085D97">
      <w:pPr>
        <w:rPr>
          <w:b/>
          <w:bCs/>
        </w:rPr>
      </w:pPr>
      <w:r w:rsidRPr="003A2637">
        <w:rPr>
          <w:b/>
          <w:bCs/>
        </w:rPr>
        <w:t>Observation 3-</w:t>
      </w:r>
      <w:r>
        <w:rPr>
          <w:b/>
          <w:bCs/>
        </w:rPr>
        <w:t>2</w:t>
      </w:r>
      <w:r w:rsidRPr="003A2637">
        <w:rPr>
          <w:b/>
          <w:bCs/>
        </w:rPr>
        <w:t xml:space="preserve">: </w:t>
      </w:r>
      <w:r>
        <w:rPr>
          <w:b/>
          <w:bCs/>
        </w:rPr>
        <w:t>Donor</w:t>
      </w:r>
      <w:r w:rsidRPr="003A2637">
        <w:rPr>
          <w:b/>
          <w:bCs/>
        </w:rPr>
        <w:t xml:space="preserve">-based </w:t>
      </w:r>
      <w:r>
        <w:rPr>
          <w:b/>
          <w:bCs/>
        </w:rPr>
        <w:t>configuration</w:t>
      </w:r>
      <w:r w:rsidRPr="003A2637">
        <w:rPr>
          <w:b/>
          <w:bCs/>
        </w:rPr>
        <w:t xml:space="preserve"> of the </w:t>
      </w:r>
      <w:r>
        <w:rPr>
          <w:b/>
          <w:bCs/>
        </w:rPr>
        <w:t xml:space="preserve">target logical </w:t>
      </w:r>
      <w:r w:rsidRPr="003A2637">
        <w:rPr>
          <w:b/>
          <w:bCs/>
        </w:rPr>
        <w:t>DU</w:t>
      </w:r>
      <w:r>
        <w:rPr>
          <w:b/>
          <w:bCs/>
        </w:rPr>
        <w:t>’s</w:t>
      </w:r>
      <w:r w:rsidRPr="003A2637">
        <w:rPr>
          <w:b/>
          <w:bCs/>
        </w:rPr>
        <w:t xml:space="preserve"> NCGI </w:t>
      </w:r>
      <w:r>
        <w:rPr>
          <w:b/>
          <w:bCs/>
        </w:rPr>
        <w:t xml:space="preserve">does not have the shortcomings of OAM-based configuration </w:t>
      </w:r>
      <w:r w:rsidRPr="003A2637">
        <w:rPr>
          <w:b/>
          <w:bCs/>
        </w:rPr>
        <w:t xml:space="preserve">of the </w:t>
      </w:r>
      <w:r>
        <w:rPr>
          <w:b/>
          <w:bCs/>
        </w:rPr>
        <w:t xml:space="preserve">target logical </w:t>
      </w:r>
      <w:r w:rsidRPr="003A2637">
        <w:rPr>
          <w:b/>
          <w:bCs/>
        </w:rPr>
        <w:t>DU</w:t>
      </w:r>
      <w:r>
        <w:rPr>
          <w:b/>
          <w:bCs/>
        </w:rPr>
        <w:t>’s</w:t>
      </w:r>
      <w:r w:rsidRPr="003A2637">
        <w:rPr>
          <w:b/>
          <w:bCs/>
        </w:rPr>
        <w:t xml:space="preserve"> NCGI</w:t>
      </w:r>
      <w:r>
        <w:rPr>
          <w:b/>
          <w:bCs/>
        </w:rPr>
        <w:t>.</w:t>
      </w:r>
    </w:p>
    <w:p w14:paraId="0C0E8EEB" w14:textId="71A6820D" w:rsidR="00085D97" w:rsidRPr="00CA53E7" w:rsidRDefault="00085D97" w:rsidP="00085D97">
      <w:pPr>
        <w:pStyle w:val="Agreement"/>
        <w:numPr>
          <w:ilvl w:val="0"/>
          <w:numId w:val="0"/>
        </w:numPr>
        <w:ind w:left="360" w:hanging="360"/>
        <w:rPr>
          <w:rFonts w:ascii="Times New Roman" w:hAnsi="Times New Roman"/>
          <w:bCs/>
        </w:rPr>
      </w:pPr>
      <w:r w:rsidRPr="00CA53E7">
        <w:rPr>
          <w:rFonts w:ascii="Times New Roman" w:hAnsi="Times New Roman"/>
          <w:bCs/>
        </w:rPr>
        <w:t>Proposal 3: The target logical DU’s NCGI to be configured by the target donor during F1 Setup.</w:t>
      </w:r>
    </w:p>
    <w:p w14:paraId="258D8306" w14:textId="4B0CE24B" w:rsidR="00085D97" w:rsidRDefault="00085D97" w:rsidP="00085D97">
      <w:pPr>
        <w:pStyle w:val="Agreement"/>
        <w:numPr>
          <w:ilvl w:val="0"/>
          <w:numId w:val="0"/>
        </w:numPr>
        <w:ind w:left="360" w:hanging="360"/>
        <w:rPr>
          <w:rFonts w:ascii="Times New Roman" w:hAnsi="Times New Roman"/>
          <w:b w:val="0"/>
        </w:rPr>
      </w:pPr>
    </w:p>
    <w:p w14:paraId="48523B0D" w14:textId="77777777" w:rsidR="00085D97" w:rsidRPr="00085D97" w:rsidRDefault="00085D97" w:rsidP="00085D97">
      <w:pPr>
        <w:pStyle w:val="Doc-text2"/>
      </w:pPr>
    </w:p>
    <w:p w14:paraId="13B5A5A6" w14:textId="77777777" w:rsidR="00085D97" w:rsidRPr="003A2637" w:rsidRDefault="00085D97" w:rsidP="00085D97">
      <w:pPr>
        <w:rPr>
          <w:b/>
          <w:bCs/>
        </w:rPr>
      </w:pPr>
      <w:r w:rsidRPr="003A2637">
        <w:rPr>
          <w:b/>
          <w:bCs/>
        </w:rPr>
        <w:t xml:space="preserve">Observation </w:t>
      </w:r>
      <w:r>
        <w:rPr>
          <w:b/>
          <w:bCs/>
        </w:rPr>
        <w:t>4</w:t>
      </w:r>
      <w:r w:rsidRPr="003A2637">
        <w:rPr>
          <w:b/>
          <w:bCs/>
        </w:rPr>
        <w:t>-</w:t>
      </w:r>
      <w:r>
        <w:rPr>
          <w:b/>
          <w:bCs/>
        </w:rPr>
        <w:t>1</w:t>
      </w:r>
      <w:r w:rsidRPr="003A2637">
        <w:rPr>
          <w:b/>
          <w:bCs/>
        </w:rPr>
        <w:t xml:space="preserve">: </w:t>
      </w:r>
      <w:r>
        <w:rPr>
          <w:b/>
          <w:bCs/>
        </w:rPr>
        <w:t xml:space="preserve">Dynamic TAC requires TAC reconfiguration procedures, and it may cause a signalling storm due to </w:t>
      </w:r>
      <w:proofErr w:type="gramStart"/>
      <w:r>
        <w:rPr>
          <w:b/>
          <w:bCs/>
        </w:rPr>
        <w:t>a large number of</w:t>
      </w:r>
      <w:proofErr w:type="gramEnd"/>
      <w:r>
        <w:rPr>
          <w:b/>
          <w:bCs/>
        </w:rPr>
        <w:t xml:space="preserve"> simultaneous UE Registration Updates.</w:t>
      </w:r>
    </w:p>
    <w:p w14:paraId="0A29DF9C" w14:textId="77777777" w:rsidR="00085D97" w:rsidRPr="003A2637" w:rsidRDefault="00085D97" w:rsidP="00085D97">
      <w:pPr>
        <w:rPr>
          <w:b/>
          <w:bCs/>
        </w:rPr>
      </w:pPr>
      <w:r w:rsidRPr="003A2637">
        <w:rPr>
          <w:b/>
          <w:bCs/>
        </w:rPr>
        <w:t xml:space="preserve">Observation </w:t>
      </w:r>
      <w:r>
        <w:rPr>
          <w:b/>
          <w:bCs/>
        </w:rPr>
        <w:t>4</w:t>
      </w:r>
      <w:r w:rsidRPr="003A2637">
        <w:rPr>
          <w:b/>
          <w:bCs/>
        </w:rPr>
        <w:t>-</w:t>
      </w:r>
      <w:r>
        <w:rPr>
          <w:b/>
          <w:bCs/>
        </w:rPr>
        <w:t>2</w:t>
      </w:r>
      <w:r w:rsidRPr="003A2637">
        <w:rPr>
          <w:b/>
          <w:bCs/>
        </w:rPr>
        <w:t xml:space="preserve">: </w:t>
      </w:r>
      <w:r>
        <w:rPr>
          <w:b/>
          <w:bCs/>
        </w:rPr>
        <w:t>For static TAC, multiple issues need to be addressed such as AMF update of TAC-to-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mapping, identification of the AMFs affected for this update, and AMF relocation for idle/inactive UEs when the IAB-node leaves the AMF’s coverage area.</w:t>
      </w:r>
    </w:p>
    <w:p w14:paraId="181EB92D" w14:textId="77777777" w:rsidR="00085D97" w:rsidRPr="00592758" w:rsidRDefault="00085D97" w:rsidP="00085D97">
      <w:pPr>
        <w:spacing w:after="120"/>
        <w:rPr>
          <w:b/>
          <w:bCs/>
        </w:rPr>
      </w:pPr>
      <w:r w:rsidRPr="00592758">
        <w:rPr>
          <w:b/>
          <w:bCs/>
        </w:rPr>
        <w:t xml:space="preserve">Proposal </w:t>
      </w:r>
      <w:r>
        <w:rPr>
          <w:b/>
          <w:bCs/>
        </w:rPr>
        <w:t>4</w:t>
      </w:r>
      <w:r w:rsidRPr="00592758">
        <w:rPr>
          <w:b/>
          <w:bCs/>
        </w:rPr>
        <w:t>-</w:t>
      </w:r>
      <w:r>
        <w:rPr>
          <w:b/>
          <w:bCs/>
        </w:rPr>
        <w:t>1</w:t>
      </w:r>
      <w:r w:rsidRPr="00592758">
        <w:rPr>
          <w:b/>
          <w:bCs/>
        </w:rPr>
        <w:t xml:space="preserve">: </w:t>
      </w:r>
      <w:r>
        <w:rPr>
          <w:b/>
          <w:bCs/>
        </w:rPr>
        <w:t>F</w:t>
      </w:r>
      <w:r w:rsidRPr="00592758">
        <w:rPr>
          <w:b/>
          <w:bCs/>
        </w:rPr>
        <w:t>or TAC handling</w:t>
      </w:r>
      <w:r>
        <w:rPr>
          <w:b/>
          <w:bCs/>
        </w:rPr>
        <w:t>,</w:t>
      </w:r>
      <w:r w:rsidRPr="00592758">
        <w:rPr>
          <w:b/>
          <w:bCs/>
        </w:rPr>
        <w:t xml:space="preserve"> RAN3 to discuss:</w:t>
      </w:r>
    </w:p>
    <w:p w14:paraId="6DB2BD39" w14:textId="77777777" w:rsidR="00085D97" w:rsidRPr="00592758" w:rsidRDefault="00085D97" w:rsidP="00085D97">
      <w:pPr>
        <w:pStyle w:val="ListParagraph"/>
        <w:numPr>
          <w:ilvl w:val="0"/>
          <w:numId w:val="36"/>
        </w:numPr>
        <w:spacing w:after="120"/>
        <w:contextualSpacing w:val="0"/>
        <w:rPr>
          <w:b/>
          <w:bCs/>
        </w:rPr>
      </w:pPr>
      <w:r w:rsidRPr="00592758">
        <w:rPr>
          <w:b/>
          <w:bCs/>
        </w:rPr>
        <w:t xml:space="preserve">For option 1, how dynamic TAC </w:t>
      </w:r>
      <w:r>
        <w:rPr>
          <w:b/>
          <w:bCs/>
        </w:rPr>
        <w:t>reconfiguration</w:t>
      </w:r>
      <w:r w:rsidRPr="00592758">
        <w:rPr>
          <w:b/>
          <w:bCs/>
        </w:rPr>
        <w:t xml:space="preserve"> is performed, and whether the signalling storm cause</w:t>
      </w:r>
      <w:r>
        <w:rPr>
          <w:b/>
          <w:bCs/>
        </w:rPr>
        <w:t>d</w:t>
      </w:r>
      <w:r w:rsidRPr="00592758">
        <w:rPr>
          <w:b/>
          <w:bCs/>
        </w:rPr>
        <w:t xml:space="preserve"> by the TAC update </w:t>
      </w:r>
      <w:r>
        <w:rPr>
          <w:b/>
          <w:bCs/>
        </w:rPr>
        <w:t>is</w:t>
      </w:r>
      <w:r w:rsidRPr="00592758">
        <w:rPr>
          <w:b/>
          <w:bCs/>
        </w:rPr>
        <w:t xml:space="preserve"> critical.</w:t>
      </w:r>
    </w:p>
    <w:p w14:paraId="7D1237A7" w14:textId="77777777" w:rsidR="00085D97" w:rsidRPr="00592758" w:rsidRDefault="00085D97" w:rsidP="00085D97">
      <w:pPr>
        <w:pStyle w:val="ListParagraph"/>
        <w:numPr>
          <w:ilvl w:val="0"/>
          <w:numId w:val="36"/>
        </w:numPr>
        <w:spacing w:after="120"/>
        <w:contextualSpacing w:val="0"/>
        <w:rPr>
          <w:b/>
          <w:bCs/>
        </w:rPr>
      </w:pPr>
      <w:r w:rsidRPr="00592758">
        <w:rPr>
          <w:b/>
          <w:bCs/>
        </w:rPr>
        <w:t xml:space="preserve">For option 2, how the UEs’ AMFs are updated with the </w:t>
      </w:r>
      <w:r>
        <w:rPr>
          <w:b/>
          <w:bCs/>
        </w:rPr>
        <w:t>TAC-to-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mapping</w:t>
      </w:r>
      <w:r w:rsidRPr="00592758">
        <w:rPr>
          <w:b/>
          <w:bCs/>
        </w:rPr>
        <w:t xml:space="preserve">, how these AMFs are identified, and how AMF relocation for idle/inactive UEs is performed when the IAB-node leaves the AMF coverage area. </w:t>
      </w:r>
    </w:p>
    <w:p w14:paraId="3EEDFCED" w14:textId="77777777" w:rsidR="00085D97" w:rsidRPr="000D18DF" w:rsidRDefault="00085D97" w:rsidP="00085D97">
      <w:pPr>
        <w:spacing w:after="120"/>
        <w:rPr>
          <w:b/>
          <w:bCs/>
        </w:rPr>
      </w:pPr>
      <w:r w:rsidRPr="000D18DF">
        <w:rPr>
          <w:b/>
          <w:bCs/>
        </w:rPr>
        <w:t xml:space="preserve">Proposal </w:t>
      </w:r>
      <w:r>
        <w:rPr>
          <w:b/>
          <w:bCs/>
        </w:rPr>
        <w:t>4</w:t>
      </w:r>
      <w:r w:rsidRPr="000D18DF">
        <w:rPr>
          <w:b/>
          <w:bCs/>
        </w:rPr>
        <w:t>-</w:t>
      </w:r>
      <w:r>
        <w:rPr>
          <w:b/>
          <w:bCs/>
        </w:rPr>
        <w:t>2</w:t>
      </w:r>
      <w:r w:rsidRPr="000D18DF">
        <w:rPr>
          <w:b/>
          <w:bCs/>
        </w:rPr>
        <w:t xml:space="preserve">: RAN3 to </w:t>
      </w:r>
      <w:r>
        <w:rPr>
          <w:b/>
          <w:bCs/>
        </w:rPr>
        <w:t>inform RAN2 and SA2 about the outcome of this discussion.</w:t>
      </w:r>
    </w:p>
    <w:p w14:paraId="7AE0FA4D" w14:textId="7DF18802" w:rsidR="0078062A" w:rsidRDefault="0078062A" w:rsidP="0096408F">
      <w:pPr>
        <w:spacing w:after="0"/>
      </w:pPr>
    </w:p>
    <w:p w14:paraId="34854A51" w14:textId="77777777" w:rsidR="00085D97" w:rsidRDefault="00085D97" w:rsidP="00085D97">
      <w:pPr>
        <w:rPr>
          <w:b/>
          <w:bCs/>
        </w:rPr>
      </w:pPr>
    </w:p>
    <w:p w14:paraId="1456006A" w14:textId="31C6D926" w:rsidR="00085D97" w:rsidRPr="003A2637" w:rsidRDefault="00085D97" w:rsidP="00085D97">
      <w:pPr>
        <w:rPr>
          <w:b/>
          <w:bCs/>
        </w:rPr>
      </w:pPr>
      <w:r w:rsidRPr="003A2637">
        <w:rPr>
          <w:b/>
          <w:bCs/>
        </w:rPr>
        <w:t xml:space="preserve">Observation </w:t>
      </w:r>
      <w:r>
        <w:rPr>
          <w:b/>
          <w:bCs/>
        </w:rPr>
        <w:t>5</w:t>
      </w:r>
      <w:r w:rsidRPr="003A2637">
        <w:rPr>
          <w:b/>
          <w:bCs/>
        </w:rPr>
        <w:t>-</w:t>
      </w:r>
      <w:r>
        <w:rPr>
          <w:b/>
          <w:bCs/>
        </w:rPr>
        <w:t>1</w:t>
      </w:r>
      <w:r w:rsidRPr="003A2637">
        <w:rPr>
          <w:b/>
          <w:bCs/>
        </w:rPr>
        <w:t xml:space="preserve">: </w:t>
      </w:r>
      <w:r>
        <w:rPr>
          <w:b/>
          <w:bCs/>
        </w:rPr>
        <w:t>Dynamic RANAC has the same issues as dynamic TAC.</w:t>
      </w:r>
    </w:p>
    <w:p w14:paraId="2ADC37D4" w14:textId="77777777" w:rsidR="00085D97" w:rsidRPr="003A2637" w:rsidRDefault="00085D97" w:rsidP="00085D97">
      <w:pPr>
        <w:rPr>
          <w:b/>
          <w:bCs/>
        </w:rPr>
      </w:pPr>
      <w:r w:rsidRPr="003A2637">
        <w:rPr>
          <w:b/>
          <w:bCs/>
        </w:rPr>
        <w:t xml:space="preserve">Observation </w:t>
      </w:r>
      <w:r>
        <w:rPr>
          <w:b/>
          <w:bCs/>
        </w:rPr>
        <w:t>5</w:t>
      </w:r>
      <w:r w:rsidRPr="003A2637">
        <w:rPr>
          <w:b/>
          <w:bCs/>
        </w:rPr>
        <w:t>-</w:t>
      </w:r>
      <w:r>
        <w:rPr>
          <w:b/>
          <w:bCs/>
        </w:rPr>
        <w:t>2</w:t>
      </w:r>
      <w:r w:rsidRPr="003A2637">
        <w:rPr>
          <w:b/>
          <w:bCs/>
        </w:rPr>
        <w:t xml:space="preserve">: </w:t>
      </w:r>
      <w:r>
        <w:rPr>
          <w:b/>
          <w:bCs/>
        </w:rPr>
        <w:t>Static RANAC may not be resolvable if the UE resumes outside the original RNA. This issue has RAN2 impact.</w:t>
      </w:r>
    </w:p>
    <w:p w14:paraId="5CE0A92C" w14:textId="77777777" w:rsidR="00085D97" w:rsidRDefault="00085D97" w:rsidP="00085D97">
      <w:pPr>
        <w:rPr>
          <w:b/>
          <w:bCs/>
        </w:rPr>
      </w:pPr>
      <w:r w:rsidRPr="00592758">
        <w:rPr>
          <w:b/>
          <w:bCs/>
        </w:rPr>
        <w:t xml:space="preserve">Proposal </w:t>
      </w:r>
      <w:r>
        <w:rPr>
          <w:b/>
          <w:bCs/>
        </w:rPr>
        <w:t>5</w:t>
      </w:r>
      <w:r w:rsidRPr="00592758">
        <w:rPr>
          <w:b/>
          <w:bCs/>
        </w:rPr>
        <w:t xml:space="preserve">: RAN3 </w:t>
      </w:r>
      <w:r>
        <w:rPr>
          <w:b/>
          <w:bCs/>
        </w:rPr>
        <w:t>to discuss the handling of RANAC after the discussion on the TAC handling has converged.</w:t>
      </w:r>
    </w:p>
    <w:p w14:paraId="35FBB4DB" w14:textId="77777777" w:rsidR="00085D97" w:rsidRDefault="00085D97" w:rsidP="0096408F">
      <w:pPr>
        <w:spacing w:after="0"/>
      </w:pP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7E774A94" w14:textId="20F8DEF8" w:rsidR="00AB5117" w:rsidRDefault="00AB5117" w:rsidP="00AB511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1" w:name="OLE_LINK52"/>
      <w:bookmarkStart w:id="2" w:name="OLE_LINK51"/>
      <w:bookmarkStart w:id="3" w:name="OLE_LINK50"/>
      <w:bookmarkStart w:id="4" w:name="_Ref490247806"/>
      <w:r>
        <w:rPr>
          <w:lang w:eastAsia="zh-CN"/>
        </w:rPr>
        <w:t xml:space="preserve">Chairman notes, </w:t>
      </w:r>
      <w:r w:rsidRPr="00213E7A">
        <w:rPr>
          <w:lang w:val="en-US" w:eastAsia="zh-CN"/>
        </w:rPr>
        <w:t>TSG-RAN WG3</w:t>
      </w:r>
      <w:bookmarkEnd w:id="1"/>
      <w:bookmarkEnd w:id="2"/>
      <w:bookmarkEnd w:id="3"/>
      <w:r w:rsidRPr="00213E7A">
        <w:rPr>
          <w:lang w:val="en-US" w:eastAsia="zh-CN"/>
        </w:rPr>
        <w:t xml:space="preserve"> Meeting #11</w:t>
      </w:r>
      <w:r>
        <w:rPr>
          <w:lang w:val="en-US" w:eastAsia="zh-CN"/>
        </w:rPr>
        <w:t>7</w:t>
      </w:r>
      <w:r w:rsidR="003B115A">
        <w:rPr>
          <w:lang w:val="en-US" w:eastAsia="zh-CN"/>
        </w:rPr>
        <w:t>bis</w:t>
      </w:r>
      <w:r w:rsidRPr="00213E7A">
        <w:rPr>
          <w:lang w:val="en-US" w:eastAsia="zh-CN"/>
        </w:rPr>
        <w:t xml:space="preserve">-e, E-meeting, </w:t>
      </w:r>
      <w:r w:rsidR="003B115A">
        <w:rPr>
          <w:lang w:val="en-US" w:eastAsia="zh-CN"/>
        </w:rPr>
        <w:t>October</w:t>
      </w:r>
      <w:r w:rsidRPr="00213E7A">
        <w:rPr>
          <w:lang w:val="en-US" w:eastAsia="zh-CN"/>
        </w:rPr>
        <w:t xml:space="preserve"> 202</w:t>
      </w:r>
      <w:r>
        <w:rPr>
          <w:lang w:val="en-US" w:eastAsia="zh-CN"/>
        </w:rPr>
        <w:t>2</w:t>
      </w:r>
      <w:r w:rsidRPr="00213E7A">
        <w:rPr>
          <w:lang w:val="en-US" w:eastAsia="zh-CN"/>
        </w:rPr>
        <w:t xml:space="preserve">.                                                                        </w:t>
      </w:r>
    </w:p>
    <w:bookmarkEnd w:id="4"/>
    <w:p w14:paraId="698966B4" w14:textId="535773A3" w:rsidR="00FB11CA" w:rsidRPr="00FB11CA" w:rsidRDefault="00FB11CA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sectPr w:rsidR="00FB11CA" w:rsidRPr="00FB11C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449C8" w14:textId="77777777" w:rsidR="00D1178A" w:rsidRDefault="00D1178A">
      <w:r>
        <w:separator/>
      </w:r>
    </w:p>
  </w:endnote>
  <w:endnote w:type="continuationSeparator" w:id="0">
    <w:p w14:paraId="11075CF6" w14:textId="77777777" w:rsidR="00D1178A" w:rsidRDefault="00D11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F5D7B" w14:textId="77777777" w:rsidR="00D1178A" w:rsidRDefault="00D1178A">
      <w:r>
        <w:separator/>
      </w:r>
    </w:p>
  </w:footnote>
  <w:footnote w:type="continuationSeparator" w:id="0">
    <w:p w14:paraId="71830F36" w14:textId="77777777" w:rsidR="00D1178A" w:rsidRDefault="00D11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4461"/>
    <w:multiLevelType w:val="hybridMultilevel"/>
    <w:tmpl w:val="1C880F2A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B6084"/>
    <w:multiLevelType w:val="hybridMultilevel"/>
    <w:tmpl w:val="F3FCCC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B778F"/>
    <w:multiLevelType w:val="hybridMultilevel"/>
    <w:tmpl w:val="39DC06A6"/>
    <w:lvl w:ilvl="0" w:tplc="25A6D98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3253C"/>
    <w:multiLevelType w:val="hybridMultilevel"/>
    <w:tmpl w:val="7EA84FA2"/>
    <w:lvl w:ilvl="0" w:tplc="F61EA4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D51B2"/>
    <w:multiLevelType w:val="hybridMultilevel"/>
    <w:tmpl w:val="F8C8D8C8"/>
    <w:lvl w:ilvl="0" w:tplc="286AE59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6545F"/>
    <w:multiLevelType w:val="hybridMultilevel"/>
    <w:tmpl w:val="783C36A4"/>
    <w:lvl w:ilvl="0" w:tplc="AF8C4430">
      <w:start w:val="2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19063CD2"/>
    <w:multiLevelType w:val="hybridMultilevel"/>
    <w:tmpl w:val="0F0C8E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C58A6"/>
    <w:multiLevelType w:val="hybridMultilevel"/>
    <w:tmpl w:val="8CDC4CC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4C174A"/>
    <w:multiLevelType w:val="hybridMultilevel"/>
    <w:tmpl w:val="7644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B5A8F"/>
    <w:multiLevelType w:val="hybridMultilevel"/>
    <w:tmpl w:val="F86612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60C28"/>
    <w:multiLevelType w:val="hybridMultilevel"/>
    <w:tmpl w:val="4990AF64"/>
    <w:lvl w:ilvl="0" w:tplc="E1C270F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2EFB"/>
    <w:multiLevelType w:val="hybridMultilevel"/>
    <w:tmpl w:val="B7C4494A"/>
    <w:lvl w:ilvl="0" w:tplc="6D26C8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72AF1"/>
    <w:multiLevelType w:val="hybridMultilevel"/>
    <w:tmpl w:val="20F0D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81303D"/>
    <w:multiLevelType w:val="hybridMultilevel"/>
    <w:tmpl w:val="7D50FA34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8F5FE0"/>
    <w:multiLevelType w:val="hybridMultilevel"/>
    <w:tmpl w:val="2230C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FD6EF3"/>
    <w:multiLevelType w:val="hybridMultilevel"/>
    <w:tmpl w:val="1E4A5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10572"/>
    <w:multiLevelType w:val="hybridMultilevel"/>
    <w:tmpl w:val="0B2C1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A50C35"/>
    <w:multiLevelType w:val="hybridMultilevel"/>
    <w:tmpl w:val="F72AA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8A3064"/>
    <w:multiLevelType w:val="hybridMultilevel"/>
    <w:tmpl w:val="2C88D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A56AA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77C3C"/>
    <w:multiLevelType w:val="hybridMultilevel"/>
    <w:tmpl w:val="96244798"/>
    <w:lvl w:ilvl="0" w:tplc="F8E8A0B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15E02"/>
    <w:multiLevelType w:val="hybridMultilevel"/>
    <w:tmpl w:val="86E6A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F6DEF"/>
    <w:multiLevelType w:val="hybridMultilevel"/>
    <w:tmpl w:val="80E2C890"/>
    <w:lvl w:ilvl="0" w:tplc="E1C270F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63732"/>
    <w:multiLevelType w:val="multilevel"/>
    <w:tmpl w:val="89784A8A"/>
    <w:lvl w:ilvl="0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31"/>
  </w:num>
  <w:num w:numId="3">
    <w:abstractNumId w:val="21"/>
  </w:num>
  <w:num w:numId="4">
    <w:abstractNumId w:val="9"/>
  </w:num>
  <w:num w:numId="5">
    <w:abstractNumId w:val="0"/>
  </w:num>
  <w:num w:numId="6">
    <w:abstractNumId w:val="23"/>
  </w:num>
  <w:num w:numId="7">
    <w:abstractNumId w:val="20"/>
  </w:num>
  <w:num w:numId="8">
    <w:abstractNumId w:val="33"/>
  </w:num>
  <w:num w:numId="9">
    <w:abstractNumId w:val="16"/>
  </w:num>
  <w:num w:numId="10">
    <w:abstractNumId w:val="27"/>
  </w:num>
  <w:num w:numId="11">
    <w:abstractNumId w:val="28"/>
  </w:num>
  <w:num w:numId="12">
    <w:abstractNumId w:val="3"/>
  </w:num>
  <w:num w:numId="13">
    <w:abstractNumId w:val="19"/>
  </w:num>
  <w:num w:numId="14">
    <w:abstractNumId w:val="17"/>
  </w:num>
  <w:num w:numId="15">
    <w:abstractNumId w:val="24"/>
  </w:num>
  <w:num w:numId="16">
    <w:abstractNumId w:val="14"/>
  </w:num>
  <w:num w:numId="17">
    <w:abstractNumId w:val="18"/>
  </w:num>
  <w:num w:numId="18">
    <w:abstractNumId w:val="22"/>
  </w:num>
  <w:num w:numId="19">
    <w:abstractNumId w:val="30"/>
  </w:num>
  <w:num w:numId="20">
    <w:abstractNumId w:val="1"/>
  </w:num>
  <w:num w:numId="21">
    <w:abstractNumId w:val="2"/>
  </w:num>
  <w:num w:numId="22">
    <w:abstractNumId w:val="8"/>
  </w:num>
  <w:num w:numId="23">
    <w:abstractNumId w:val="11"/>
  </w:num>
  <w:num w:numId="24">
    <w:abstractNumId w:val="5"/>
  </w:num>
  <w:num w:numId="25">
    <w:abstractNumId w:val="13"/>
  </w:num>
  <w:num w:numId="26">
    <w:abstractNumId w:val="4"/>
  </w:num>
  <w:num w:numId="27">
    <w:abstractNumId w:val="25"/>
  </w:num>
  <w:num w:numId="28">
    <w:abstractNumId w:val="26"/>
  </w:num>
  <w:num w:numId="29">
    <w:abstractNumId w:val="29"/>
  </w:num>
  <w:num w:numId="30">
    <w:abstractNumId w:val="6"/>
  </w:num>
  <w:num w:numId="31">
    <w:abstractNumId w:val="10"/>
  </w:num>
  <w:num w:numId="32">
    <w:abstractNumId w:val="31"/>
  </w:num>
  <w:num w:numId="33">
    <w:abstractNumId w:val="31"/>
  </w:num>
  <w:num w:numId="34">
    <w:abstractNumId w:val="31"/>
  </w:num>
  <w:num w:numId="35">
    <w:abstractNumId w:val="7"/>
  </w:num>
  <w:num w:numId="36">
    <w:abstractNumId w:val="12"/>
  </w:num>
  <w:num w:numId="37">
    <w:abstractNumId w:val="31"/>
  </w:num>
  <w:num w:numId="38">
    <w:abstractNumId w:val="31"/>
  </w:num>
  <w:num w:numId="39">
    <w:abstractNumId w:val="31"/>
  </w:num>
  <w:num w:numId="40">
    <w:abstractNumId w:val="32"/>
  </w:num>
  <w:num w:numId="41">
    <w:abstractNumId w:val="31"/>
  </w:num>
  <w:num w:numId="42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253"/>
    <w:rsid w:val="000064F6"/>
    <w:rsid w:val="00006EBD"/>
    <w:rsid w:val="00010161"/>
    <w:rsid w:val="00011DBF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705"/>
    <w:rsid w:val="00044ED2"/>
    <w:rsid w:val="00045625"/>
    <w:rsid w:val="0004707F"/>
    <w:rsid w:val="000516D8"/>
    <w:rsid w:val="0005270E"/>
    <w:rsid w:val="00056DB2"/>
    <w:rsid w:val="0005769A"/>
    <w:rsid w:val="0006135D"/>
    <w:rsid w:val="00061505"/>
    <w:rsid w:val="00065659"/>
    <w:rsid w:val="00065D6B"/>
    <w:rsid w:val="00066096"/>
    <w:rsid w:val="00070620"/>
    <w:rsid w:val="00071167"/>
    <w:rsid w:val="000716A1"/>
    <w:rsid w:val="000732E0"/>
    <w:rsid w:val="00073EB1"/>
    <w:rsid w:val="00074261"/>
    <w:rsid w:val="0007446F"/>
    <w:rsid w:val="0007762E"/>
    <w:rsid w:val="00077C88"/>
    <w:rsid w:val="00080512"/>
    <w:rsid w:val="000812F8"/>
    <w:rsid w:val="000827C8"/>
    <w:rsid w:val="00082C7D"/>
    <w:rsid w:val="00084591"/>
    <w:rsid w:val="00085D97"/>
    <w:rsid w:val="0008762B"/>
    <w:rsid w:val="00087E3D"/>
    <w:rsid w:val="00090401"/>
    <w:rsid w:val="00090468"/>
    <w:rsid w:val="000926D3"/>
    <w:rsid w:val="00093164"/>
    <w:rsid w:val="00096258"/>
    <w:rsid w:val="000974C9"/>
    <w:rsid w:val="0009788E"/>
    <w:rsid w:val="000A050C"/>
    <w:rsid w:val="000A3F9B"/>
    <w:rsid w:val="000A5AD5"/>
    <w:rsid w:val="000B0C46"/>
    <w:rsid w:val="000B19D0"/>
    <w:rsid w:val="000B2CBF"/>
    <w:rsid w:val="000B3277"/>
    <w:rsid w:val="000B4D19"/>
    <w:rsid w:val="000B7BCF"/>
    <w:rsid w:val="000C0524"/>
    <w:rsid w:val="000C2CA3"/>
    <w:rsid w:val="000C2D34"/>
    <w:rsid w:val="000C415C"/>
    <w:rsid w:val="000C416C"/>
    <w:rsid w:val="000C460A"/>
    <w:rsid w:val="000C4AA7"/>
    <w:rsid w:val="000C522B"/>
    <w:rsid w:val="000C5567"/>
    <w:rsid w:val="000C5DF5"/>
    <w:rsid w:val="000C77C8"/>
    <w:rsid w:val="000C7894"/>
    <w:rsid w:val="000D0B0C"/>
    <w:rsid w:val="000D137A"/>
    <w:rsid w:val="000D18DF"/>
    <w:rsid w:val="000D30A2"/>
    <w:rsid w:val="000D3C9D"/>
    <w:rsid w:val="000D58AB"/>
    <w:rsid w:val="000D6B39"/>
    <w:rsid w:val="000E26D2"/>
    <w:rsid w:val="000E427B"/>
    <w:rsid w:val="000E49BE"/>
    <w:rsid w:val="000E5617"/>
    <w:rsid w:val="000E6697"/>
    <w:rsid w:val="000F03B7"/>
    <w:rsid w:val="000F2F84"/>
    <w:rsid w:val="000F342D"/>
    <w:rsid w:val="000F3E8C"/>
    <w:rsid w:val="000F5DDE"/>
    <w:rsid w:val="000F7EC6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1FB7"/>
    <w:rsid w:val="001224F1"/>
    <w:rsid w:val="00122700"/>
    <w:rsid w:val="00123DB1"/>
    <w:rsid w:val="001241A8"/>
    <w:rsid w:val="00124B3D"/>
    <w:rsid w:val="0012527D"/>
    <w:rsid w:val="00126209"/>
    <w:rsid w:val="00126D29"/>
    <w:rsid w:val="00130949"/>
    <w:rsid w:val="00131495"/>
    <w:rsid w:val="00131A2F"/>
    <w:rsid w:val="00134105"/>
    <w:rsid w:val="0013487C"/>
    <w:rsid w:val="00135C51"/>
    <w:rsid w:val="00135EC2"/>
    <w:rsid w:val="00135FD1"/>
    <w:rsid w:val="00137B44"/>
    <w:rsid w:val="00140C86"/>
    <w:rsid w:val="00141C71"/>
    <w:rsid w:val="0014488C"/>
    <w:rsid w:val="00145075"/>
    <w:rsid w:val="00146FB1"/>
    <w:rsid w:val="0014714F"/>
    <w:rsid w:val="0014751F"/>
    <w:rsid w:val="00147B8F"/>
    <w:rsid w:val="0015058A"/>
    <w:rsid w:val="00151AD8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6A6D"/>
    <w:rsid w:val="0017733D"/>
    <w:rsid w:val="0017736D"/>
    <w:rsid w:val="00181A75"/>
    <w:rsid w:val="001822E5"/>
    <w:rsid w:val="00182DE1"/>
    <w:rsid w:val="00183165"/>
    <w:rsid w:val="001833C6"/>
    <w:rsid w:val="00183953"/>
    <w:rsid w:val="00185B31"/>
    <w:rsid w:val="00186DE6"/>
    <w:rsid w:val="00190C58"/>
    <w:rsid w:val="001947B6"/>
    <w:rsid w:val="00194CC5"/>
    <w:rsid w:val="00194CD0"/>
    <w:rsid w:val="00196C23"/>
    <w:rsid w:val="0019788E"/>
    <w:rsid w:val="00197AFD"/>
    <w:rsid w:val="001A16DE"/>
    <w:rsid w:val="001A2B4C"/>
    <w:rsid w:val="001A6D8E"/>
    <w:rsid w:val="001A7342"/>
    <w:rsid w:val="001B11ED"/>
    <w:rsid w:val="001B39BC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34ED"/>
    <w:rsid w:val="001D379F"/>
    <w:rsid w:val="001D3A7D"/>
    <w:rsid w:val="001D3EB3"/>
    <w:rsid w:val="001D4FB0"/>
    <w:rsid w:val="001D599B"/>
    <w:rsid w:val="001D6CF3"/>
    <w:rsid w:val="001E284D"/>
    <w:rsid w:val="001E53A0"/>
    <w:rsid w:val="001E58A5"/>
    <w:rsid w:val="001E5C04"/>
    <w:rsid w:val="001E70D7"/>
    <w:rsid w:val="001F168B"/>
    <w:rsid w:val="001F1CFE"/>
    <w:rsid w:val="001F2E7F"/>
    <w:rsid w:val="001F34F3"/>
    <w:rsid w:val="001F5368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5A43"/>
    <w:rsid w:val="00206ED3"/>
    <w:rsid w:val="00207079"/>
    <w:rsid w:val="0021353E"/>
    <w:rsid w:val="002138DD"/>
    <w:rsid w:val="00214E95"/>
    <w:rsid w:val="00215C7D"/>
    <w:rsid w:val="00216471"/>
    <w:rsid w:val="00216FA7"/>
    <w:rsid w:val="00220564"/>
    <w:rsid w:val="00221DC7"/>
    <w:rsid w:val="00221E06"/>
    <w:rsid w:val="00223AD3"/>
    <w:rsid w:val="00224198"/>
    <w:rsid w:val="002244A9"/>
    <w:rsid w:val="00225498"/>
    <w:rsid w:val="0022589F"/>
    <w:rsid w:val="00225DDA"/>
    <w:rsid w:val="0022606D"/>
    <w:rsid w:val="00226347"/>
    <w:rsid w:val="00227DD0"/>
    <w:rsid w:val="00233196"/>
    <w:rsid w:val="002334C5"/>
    <w:rsid w:val="00233A4C"/>
    <w:rsid w:val="0023484A"/>
    <w:rsid w:val="002350D0"/>
    <w:rsid w:val="00235144"/>
    <w:rsid w:val="00235CA7"/>
    <w:rsid w:val="00242D19"/>
    <w:rsid w:val="00243EBA"/>
    <w:rsid w:val="0024485F"/>
    <w:rsid w:val="00245A51"/>
    <w:rsid w:val="00245B7D"/>
    <w:rsid w:val="00250812"/>
    <w:rsid w:val="00250B04"/>
    <w:rsid w:val="002514DD"/>
    <w:rsid w:val="0025370E"/>
    <w:rsid w:val="0025406F"/>
    <w:rsid w:val="00256B66"/>
    <w:rsid w:val="00256D42"/>
    <w:rsid w:val="00260AE7"/>
    <w:rsid w:val="00262113"/>
    <w:rsid w:val="00262EDD"/>
    <w:rsid w:val="0026614D"/>
    <w:rsid w:val="0027053F"/>
    <w:rsid w:val="00270F19"/>
    <w:rsid w:val="002715EB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86C37"/>
    <w:rsid w:val="00290FC1"/>
    <w:rsid w:val="002923AE"/>
    <w:rsid w:val="00293031"/>
    <w:rsid w:val="002956AA"/>
    <w:rsid w:val="002966A8"/>
    <w:rsid w:val="002A00A9"/>
    <w:rsid w:val="002A09FF"/>
    <w:rsid w:val="002A1120"/>
    <w:rsid w:val="002A4AD1"/>
    <w:rsid w:val="002A4D88"/>
    <w:rsid w:val="002A717B"/>
    <w:rsid w:val="002B17AD"/>
    <w:rsid w:val="002B4AC3"/>
    <w:rsid w:val="002B69DE"/>
    <w:rsid w:val="002B7133"/>
    <w:rsid w:val="002C18E1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54D4"/>
    <w:rsid w:val="002E61FD"/>
    <w:rsid w:val="002E7B35"/>
    <w:rsid w:val="002F00B4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58AF"/>
    <w:rsid w:val="00316444"/>
    <w:rsid w:val="00316792"/>
    <w:rsid w:val="003169A2"/>
    <w:rsid w:val="003172DC"/>
    <w:rsid w:val="00320A6B"/>
    <w:rsid w:val="00320E41"/>
    <w:rsid w:val="00321520"/>
    <w:rsid w:val="00322D89"/>
    <w:rsid w:val="00323879"/>
    <w:rsid w:val="003241D6"/>
    <w:rsid w:val="00326069"/>
    <w:rsid w:val="00326242"/>
    <w:rsid w:val="00331D99"/>
    <w:rsid w:val="00331F55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2EAC"/>
    <w:rsid w:val="00343C86"/>
    <w:rsid w:val="00344236"/>
    <w:rsid w:val="00344969"/>
    <w:rsid w:val="00344C13"/>
    <w:rsid w:val="00344D0C"/>
    <w:rsid w:val="003452AB"/>
    <w:rsid w:val="00346B5D"/>
    <w:rsid w:val="00346D47"/>
    <w:rsid w:val="00347001"/>
    <w:rsid w:val="003520D1"/>
    <w:rsid w:val="00353EFF"/>
    <w:rsid w:val="003543AB"/>
    <w:rsid w:val="0035462D"/>
    <w:rsid w:val="00354E1B"/>
    <w:rsid w:val="003577E7"/>
    <w:rsid w:val="003602D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A4A"/>
    <w:rsid w:val="00380D21"/>
    <w:rsid w:val="00381FB6"/>
    <w:rsid w:val="00382A17"/>
    <w:rsid w:val="00382AC9"/>
    <w:rsid w:val="00382B15"/>
    <w:rsid w:val="003839E9"/>
    <w:rsid w:val="00383D39"/>
    <w:rsid w:val="00384E6A"/>
    <w:rsid w:val="003857A2"/>
    <w:rsid w:val="003860EA"/>
    <w:rsid w:val="0038677D"/>
    <w:rsid w:val="00390241"/>
    <w:rsid w:val="0039145F"/>
    <w:rsid w:val="003921CE"/>
    <w:rsid w:val="00394322"/>
    <w:rsid w:val="00395806"/>
    <w:rsid w:val="00395BB6"/>
    <w:rsid w:val="003A1265"/>
    <w:rsid w:val="003A16C0"/>
    <w:rsid w:val="003A2637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15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259A"/>
    <w:rsid w:val="003C4E37"/>
    <w:rsid w:val="003C6194"/>
    <w:rsid w:val="003C66DE"/>
    <w:rsid w:val="003D0659"/>
    <w:rsid w:val="003D0AEF"/>
    <w:rsid w:val="003D159B"/>
    <w:rsid w:val="003D199F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5A3C"/>
    <w:rsid w:val="003E5BEF"/>
    <w:rsid w:val="003E6C37"/>
    <w:rsid w:val="003E6D72"/>
    <w:rsid w:val="003F037E"/>
    <w:rsid w:val="003F160A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17977"/>
    <w:rsid w:val="00420392"/>
    <w:rsid w:val="004203A6"/>
    <w:rsid w:val="00421A80"/>
    <w:rsid w:val="004223D5"/>
    <w:rsid w:val="0042394C"/>
    <w:rsid w:val="004267F5"/>
    <w:rsid w:val="004269D0"/>
    <w:rsid w:val="00427019"/>
    <w:rsid w:val="004275A9"/>
    <w:rsid w:val="00430D92"/>
    <w:rsid w:val="004316D5"/>
    <w:rsid w:val="0043393F"/>
    <w:rsid w:val="00435311"/>
    <w:rsid w:val="004378F1"/>
    <w:rsid w:val="00437E0C"/>
    <w:rsid w:val="00440AA6"/>
    <w:rsid w:val="00443341"/>
    <w:rsid w:val="00446181"/>
    <w:rsid w:val="00447717"/>
    <w:rsid w:val="004477E7"/>
    <w:rsid w:val="00447946"/>
    <w:rsid w:val="0045111B"/>
    <w:rsid w:val="004522CC"/>
    <w:rsid w:val="00453473"/>
    <w:rsid w:val="0045378B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2C80"/>
    <w:rsid w:val="004832C4"/>
    <w:rsid w:val="00483C1D"/>
    <w:rsid w:val="00485492"/>
    <w:rsid w:val="00485BDB"/>
    <w:rsid w:val="004864C2"/>
    <w:rsid w:val="00487C78"/>
    <w:rsid w:val="00492258"/>
    <w:rsid w:val="00492558"/>
    <w:rsid w:val="004955F3"/>
    <w:rsid w:val="0049656C"/>
    <w:rsid w:val="004972DD"/>
    <w:rsid w:val="004A0319"/>
    <w:rsid w:val="004A1927"/>
    <w:rsid w:val="004A2B72"/>
    <w:rsid w:val="004A32F3"/>
    <w:rsid w:val="004A4700"/>
    <w:rsid w:val="004A59FA"/>
    <w:rsid w:val="004A68F4"/>
    <w:rsid w:val="004B20E3"/>
    <w:rsid w:val="004B2A60"/>
    <w:rsid w:val="004B39DD"/>
    <w:rsid w:val="004B41F8"/>
    <w:rsid w:val="004B5CED"/>
    <w:rsid w:val="004B68D7"/>
    <w:rsid w:val="004B6F3C"/>
    <w:rsid w:val="004B7120"/>
    <w:rsid w:val="004C1531"/>
    <w:rsid w:val="004C1974"/>
    <w:rsid w:val="004C229D"/>
    <w:rsid w:val="004C2E68"/>
    <w:rsid w:val="004C5A95"/>
    <w:rsid w:val="004C6BCC"/>
    <w:rsid w:val="004C7E7C"/>
    <w:rsid w:val="004C7EC4"/>
    <w:rsid w:val="004D1DC6"/>
    <w:rsid w:val="004D3578"/>
    <w:rsid w:val="004D380D"/>
    <w:rsid w:val="004E0C79"/>
    <w:rsid w:val="004E213A"/>
    <w:rsid w:val="004E2917"/>
    <w:rsid w:val="004E3487"/>
    <w:rsid w:val="004E383E"/>
    <w:rsid w:val="004E48C4"/>
    <w:rsid w:val="004F0DE1"/>
    <w:rsid w:val="004F10A5"/>
    <w:rsid w:val="004F156A"/>
    <w:rsid w:val="004F258E"/>
    <w:rsid w:val="0050198D"/>
    <w:rsid w:val="00502735"/>
    <w:rsid w:val="00502BC6"/>
    <w:rsid w:val="00502FEE"/>
    <w:rsid w:val="00503171"/>
    <w:rsid w:val="005037A0"/>
    <w:rsid w:val="00506C28"/>
    <w:rsid w:val="00507F9C"/>
    <w:rsid w:val="00511F56"/>
    <w:rsid w:val="0051299A"/>
    <w:rsid w:val="00513916"/>
    <w:rsid w:val="00516518"/>
    <w:rsid w:val="005169F2"/>
    <w:rsid w:val="0051770A"/>
    <w:rsid w:val="00522978"/>
    <w:rsid w:val="005234CD"/>
    <w:rsid w:val="00523FEE"/>
    <w:rsid w:val="00524ACC"/>
    <w:rsid w:val="00527A53"/>
    <w:rsid w:val="00527DE0"/>
    <w:rsid w:val="0053020D"/>
    <w:rsid w:val="00531227"/>
    <w:rsid w:val="00532A92"/>
    <w:rsid w:val="00534DA0"/>
    <w:rsid w:val="0053506A"/>
    <w:rsid w:val="00535C9F"/>
    <w:rsid w:val="00536C49"/>
    <w:rsid w:val="00540007"/>
    <w:rsid w:val="005409EE"/>
    <w:rsid w:val="00541123"/>
    <w:rsid w:val="00543E6C"/>
    <w:rsid w:val="00543F5F"/>
    <w:rsid w:val="00546749"/>
    <w:rsid w:val="00546CB4"/>
    <w:rsid w:val="0055050A"/>
    <w:rsid w:val="005506D7"/>
    <w:rsid w:val="005513E1"/>
    <w:rsid w:val="00551ED5"/>
    <w:rsid w:val="00551ED6"/>
    <w:rsid w:val="00551F97"/>
    <w:rsid w:val="00552D11"/>
    <w:rsid w:val="00553021"/>
    <w:rsid w:val="00553946"/>
    <w:rsid w:val="0056076A"/>
    <w:rsid w:val="00561CD2"/>
    <w:rsid w:val="0056469D"/>
    <w:rsid w:val="0056480F"/>
    <w:rsid w:val="00565087"/>
    <w:rsid w:val="0056573F"/>
    <w:rsid w:val="00566049"/>
    <w:rsid w:val="00566566"/>
    <w:rsid w:val="005702AA"/>
    <w:rsid w:val="0057072F"/>
    <w:rsid w:val="00570858"/>
    <w:rsid w:val="0057085C"/>
    <w:rsid w:val="00571FB4"/>
    <w:rsid w:val="00572EFD"/>
    <w:rsid w:val="00573003"/>
    <w:rsid w:val="00573B7D"/>
    <w:rsid w:val="00573DDF"/>
    <w:rsid w:val="005740A5"/>
    <w:rsid w:val="0057551C"/>
    <w:rsid w:val="0057656C"/>
    <w:rsid w:val="0057751A"/>
    <w:rsid w:val="00580A44"/>
    <w:rsid w:val="00580E96"/>
    <w:rsid w:val="00582CDB"/>
    <w:rsid w:val="00584EE9"/>
    <w:rsid w:val="005862E2"/>
    <w:rsid w:val="00586897"/>
    <w:rsid w:val="00586CF6"/>
    <w:rsid w:val="00587B48"/>
    <w:rsid w:val="00587FD5"/>
    <w:rsid w:val="005900CE"/>
    <w:rsid w:val="005920E6"/>
    <w:rsid w:val="00592758"/>
    <w:rsid w:val="00593B6E"/>
    <w:rsid w:val="005A0B84"/>
    <w:rsid w:val="005A14B6"/>
    <w:rsid w:val="005A166D"/>
    <w:rsid w:val="005A240D"/>
    <w:rsid w:val="005A5C04"/>
    <w:rsid w:val="005A6916"/>
    <w:rsid w:val="005B1071"/>
    <w:rsid w:val="005B1DC5"/>
    <w:rsid w:val="005B249B"/>
    <w:rsid w:val="005B3C9A"/>
    <w:rsid w:val="005B464A"/>
    <w:rsid w:val="005B46AD"/>
    <w:rsid w:val="005C0207"/>
    <w:rsid w:val="005C15EC"/>
    <w:rsid w:val="005C2845"/>
    <w:rsid w:val="005C43EE"/>
    <w:rsid w:val="005C528A"/>
    <w:rsid w:val="005C5D9D"/>
    <w:rsid w:val="005C7E45"/>
    <w:rsid w:val="005D5447"/>
    <w:rsid w:val="005D661E"/>
    <w:rsid w:val="005E1A07"/>
    <w:rsid w:val="005E5D4F"/>
    <w:rsid w:val="005E6A6C"/>
    <w:rsid w:val="005F009B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16AD7"/>
    <w:rsid w:val="00621140"/>
    <w:rsid w:val="006211DA"/>
    <w:rsid w:val="00621371"/>
    <w:rsid w:val="00623713"/>
    <w:rsid w:val="00623A25"/>
    <w:rsid w:val="00626696"/>
    <w:rsid w:val="00626713"/>
    <w:rsid w:val="0062739F"/>
    <w:rsid w:val="00631DBD"/>
    <w:rsid w:val="00632222"/>
    <w:rsid w:val="00634704"/>
    <w:rsid w:val="00635F47"/>
    <w:rsid w:val="00637EBA"/>
    <w:rsid w:val="00641F14"/>
    <w:rsid w:val="0064411C"/>
    <w:rsid w:val="006454FE"/>
    <w:rsid w:val="006457D8"/>
    <w:rsid w:val="00645D44"/>
    <w:rsid w:val="006465F3"/>
    <w:rsid w:val="00646D99"/>
    <w:rsid w:val="00647E8B"/>
    <w:rsid w:val="00650084"/>
    <w:rsid w:val="00651125"/>
    <w:rsid w:val="00651930"/>
    <w:rsid w:val="00651A6B"/>
    <w:rsid w:val="00652646"/>
    <w:rsid w:val="00652CF2"/>
    <w:rsid w:val="006531CD"/>
    <w:rsid w:val="00656910"/>
    <w:rsid w:val="006600CD"/>
    <w:rsid w:val="00660764"/>
    <w:rsid w:val="00662592"/>
    <w:rsid w:val="0066344B"/>
    <w:rsid w:val="00664958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337F"/>
    <w:rsid w:val="006856CF"/>
    <w:rsid w:val="00685FF1"/>
    <w:rsid w:val="006901D6"/>
    <w:rsid w:val="0069267C"/>
    <w:rsid w:val="006926BA"/>
    <w:rsid w:val="00692FC3"/>
    <w:rsid w:val="00693373"/>
    <w:rsid w:val="00694012"/>
    <w:rsid w:val="00694D2A"/>
    <w:rsid w:val="006965CD"/>
    <w:rsid w:val="00696A0A"/>
    <w:rsid w:val="00696DF2"/>
    <w:rsid w:val="00697858"/>
    <w:rsid w:val="006A1436"/>
    <w:rsid w:val="006A180F"/>
    <w:rsid w:val="006A334F"/>
    <w:rsid w:val="006A3BF2"/>
    <w:rsid w:val="006A456D"/>
    <w:rsid w:val="006A5153"/>
    <w:rsid w:val="006A54BE"/>
    <w:rsid w:val="006A6944"/>
    <w:rsid w:val="006A6BA4"/>
    <w:rsid w:val="006B0254"/>
    <w:rsid w:val="006B4899"/>
    <w:rsid w:val="006B4D84"/>
    <w:rsid w:val="006B605E"/>
    <w:rsid w:val="006B6466"/>
    <w:rsid w:val="006B7943"/>
    <w:rsid w:val="006C372A"/>
    <w:rsid w:val="006C4CC8"/>
    <w:rsid w:val="006C4F2C"/>
    <w:rsid w:val="006C6225"/>
    <w:rsid w:val="006C66D8"/>
    <w:rsid w:val="006C768F"/>
    <w:rsid w:val="006D0C80"/>
    <w:rsid w:val="006D0EC9"/>
    <w:rsid w:val="006D1E24"/>
    <w:rsid w:val="006D3390"/>
    <w:rsid w:val="006D448F"/>
    <w:rsid w:val="006D4CB0"/>
    <w:rsid w:val="006D7BF4"/>
    <w:rsid w:val="006D7D62"/>
    <w:rsid w:val="006E08C3"/>
    <w:rsid w:val="006E1417"/>
    <w:rsid w:val="006E1583"/>
    <w:rsid w:val="006E4365"/>
    <w:rsid w:val="006E5AD2"/>
    <w:rsid w:val="006E7397"/>
    <w:rsid w:val="006F0D09"/>
    <w:rsid w:val="006F0EE0"/>
    <w:rsid w:val="006F1C88"/>
    <w:rsid w:val="006F25E4"/>
    <w:rsid w:val="006F32EA"/>
    <w:rsid w:val="006F3690"/>
    <w:rsid w:val="006F47F6"/>
    <w:rsid w:val="006F5D11"/>
    <w:rsid w:val="006F62AC"/>
    <w:rsid w:val="006F6A2C"/>
    <w:rsid w:val="006F6E95"/>
    <w:rsid w:val="006F70ED"/>
    <w:rsid w:val="006F78E6"/>
    <w:rsid w:val="00702AAA"/>
    <w:rsid w:val="00702F97"/>
    <w:rsid w:val="00704C10"/>
    <w:rsid w:val="00705D88"/>
    <w:rsid w:val="00707E6F"/>
    <w:rsid w:val="00710201"/>
    <w:rsid w:val="0071066B"/>
    <w:rsid w:val="007118EE"/>
    <w:rsid w:val="00715050"/>
    <w:rsid w:val="00716016"/>
    <w:rsid w:val="00716280"/>
    <w:rsid w:val="0071689E"/>
    <w:rsid w:val="00717A1C"/>
    <w:rsid w:val="0072014D"/>
    <w:rsid w:val="00721FCB"/>
    <w:rsid w:val="00725FF3"/>
    <w:rsid w:val="00727896"/>
    <w:rsid w:val="00730422"/>
    <w:rsid w:val="00734A5B"/>
    <w:rsid w:val="00734CEE"/>
    <w:rsid w:val="00735E81"/>
    <w:rsid w:val="00735F8A"/>
    <w:rsid w:val="007418B7"/>
    <w:rsid w:val="00741E7A"/>
    <w:rsid w:val="00743143"/>
    <w:rsid w:val="00744E76"/>
    <w:rsid w:val="007460EF"/>
    <w:rsid w:val="00747A03"/>
    <w:rsid w:val="00747D0A"/>
    <w:rsid w:val="007504A9"/>
    <w:rsid w:val="0075199C"/>
    <w:rsid w:val="0075234C"/>
    <w:rsid w:val="0075294C"/>
    <w:rsid w:val="00752A49"/>
    <w:rsid w:val="00753591"/>
    <w:rsid w:val="007542F1"/>
    <w:rsid w:val="00757D40"/>
    <w:rsid w:val="007636D3"/>
    <w:rsid w:val="007651CE"/>
    <w:rsid w:val="007658B7"/>
    <w:rsid w:val="007665C4"/>
    <w:rsid w:val="0076778B"/>
    <w:rsid w:val="0076792F"/>
    <w:rsid w:val="00771416"/>
    <w:rsid w:val="00771BCD"/>
    <w:rsid w:val="00773ACB"/>
    <w:rsid w:val="00776516"/>
    <w:rsid w:val="00776C2C"/>
    <w:rsid w:val="0078062A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5580"/>
    <w:rsid w:val="0079664E"/>
    <w:rsid w:val="007A0634"/>
    <w:rsid w:val="007A2383"/>
    <w:rsid w:val="007A5735"/>
    <w:rsid w:val="007A5F63"/>
    <w:rsid w:val="007A72E5"/>
    <w:rsid w:val="007B08A6"/>
    <w:rsid w:val="007B0BD4"/>
    <w:rsid w:val="007B18D8"/>
    <w:rsid w:val="007B3472"/>
    <w:rsid w:val="007B5408"/>
    <w:rsid w:val="007B579C"/>
    <w:rsid w:val="007B5C20"/>
    <w:rsid w:val="007B7D44"/>
    <w:rsid w:val="007C095F"/>
    <w:rsid w:val="007C15DF"/>
    <w:rsid w:val="007C1897"/>
    <w:rsid w:val="007C2012"/>
    <w:rsid w:val="007C2977"/>
    <w:rsid w:val="007C3795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E5B6C"/>
    <w:rsid w:val="007F04EE"/>
    <w:rsid w:val="007F14AD"/>
    <w:rsid w:val="007F31EB"/>
    <w:rsid w:val="007F372C"/>
    <w:rsid w:val="007F7268"/>
    <w:rsid w:val="007F7342"/>
    <w:rsid w:val="00800D57"/>
    <w:rsid w:val="008028A4"/>
    <w:rsid w:val="0080333D"/>
    <w:rsid w:val="00804B54"/>
    <w:rsid w:val="00805E0B"/>
    <w:rsid w:val="00806310"/>
    <w:rsid w:val="0081274B"/>
    <w:rsid w:val="00812B0C"/>
    <w:rsid w:val="00813245"/>
    <w:rsid w:val="00815694"/>
    <w:rsid w:val="00815852"/>
    <w:rsid w:val="008168B6"/>
    <w:rsid w:val="00816D27"/>
    <w:rsid w:val="00817883"/>
    <w:rsid w:val="00820686"/>
    <w:rsid w:val="00820AB0"/>
    <w:rsid w:val="0082162B"/>
    <w:rsid w:val="00821AED"/>
    <w:rsid w:val="00821CC7"/>
    <w:rsid w:val="00822184"/>
    <w:rsid w:val="00823732"/>
    <w:rsid w:val="00823DA9"/>
    <w:rsid w:val="00824755"/>
    <w:rsid w:val="008265B1"/>
    <w:rsid w:val="008267DC"/>
    <w:rsid w:val="00826C47"/>
    <w:rsid w:val="008324A5"/>
    <w:rsid w:val="00834604"/>
    <w:rsid w:val="00834A6D"/>
    <w:rsid w:val="00840BC0"/>
    <w:rsid w:val="008452AD"/>
    <w:rsid w:val="00845E80"/>
    <w:rsid w:val="008460EF"/>
    <w:rsid w:val="0084763A"/>
    <w:rsid w:val="00850BBB"/>
    <w:rsid w:val="00854A4F"/>
    <w:rsid w:val="00856127"/>
    <w:rsid w:val="0085698E"/>
    <w:rsid w:val="008571AD"/>
    <w:rsid w:val="00857756"/>
    <w:rsid w:val="00860820"/>
    <w:rsid w:val="00860D01"/>
    <w:rsid w:val="0086528E"/>
    <w:rsid w:val="00865FAA"/>
    <w:rsid w:val="00867996"/>
    <w:rsid w:val="00867D0B"/>
    <w:rsid w:val="00867F46"/>
    <w:rsid w:val="00870B46"/>
    <w:rsid w:val="00870B58"/>
    <w:rsid w:val="00870F1B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1F91"/>
    <w:rsid w:val="00882AE0"/>
    <w:rsid w:val="00882C69"/>
    <w:rsid w:val="00884F4E"/>
    <w:rsid w:val="00886422"/>
    <w:rsid w:val="00887C52"/>
    <w:rsid w:val="008909A8"/>
    <w:rsid w:val="008916F0"/>
    <w:rsid w:val="00893663"/>
    <w:rsid w:val="00894069"/>
    <w:rsid w:val="00895302"/>
    <w:rsid w:val="008953A5"/>
    <w:rsid w:val="008A07BA"/>
    <w:rsid w:val="008A15D5"/>
    <w:rsid w:val="008A203C"/>
    <w:rsid w:val="008A27FC"/>
    <w:rsid w:val="008A2D12"/>
    <w:rsid w:val="008B192A"/>
    <w:rsid w:val="008B1E95"/>
    <w:rsid w:val="008B44F1"/>
    <w:rsid w:val="008B5306"/>
    <w:rsid w:val="008B681A"/>
    <w:rsid w:val="008C06A1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E131E"/>
    <w:rsid w:val="008E345E"/>
    <w:rsid w:val="008E3B19"/>
    <w:rsid w:val="008E412B"/>
    <w:rsid w:val="008E7484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47A4"/>
    <w:rsid w:val="009062D3"/>
    <w:rsid w:val="00907DD2"/>
    <w:rsid w:val="00911A3A"/>
    <w:rsid w:val="00911DEA"/>
    <w:rsid w:val="00912CD4"/>
    <w:rsid w:val="009133B8"/>
    <w:rsid w:val="0091704E"/>
    <w:rsid w:val="009176DF"/>
    <w:rsid w:val="00917ABE"/>
    <w:rsid w:val="0092024A"/>
    <w:rsid w:val="00921F58"/>
    <w:rsid w:val="00922DC1"/>
    <w:rsid w:val="0092322B"/>
    <w:rsid w:val="0092470C"/>
    <w:rsid w:val="00924D2C"/>
    <w:rsid w:val="0092657D"/>
    <w:rsid w:val="00931360"/>
    <w:rsid w:val="00931AF4"/>
    <w:rsid w:val="00933F83"/>
    <w:rsid w:val="009347C5"/>
    <w:rsid w:val="00936071"/>
    <w:rsid w:val="00940212"/>
    <w:rsid w:val="0094197F"/>
    <w:rsid w:val="00942E6A"/>
    <w:rsid w:val="00942EC2"/>
    <w:rsid w:val="00944FE1"/>
    <w:rsid w:val="00945B30"/>
    <w:rsid w:val="0094798C"/>
    <w:rsid w:val="00951FC7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3368"/>
    <w:rsid w:val="0096408F"/>
    <w:rsid w:val="00964344"/>
    <w:rsid w:val="009656AD"/>
    <w:rsid w:val="009658F8"/>
    <w:rsid w:val="009709BE"/>
    <w:rsid w:val="00970DB3"/>
    <w:rsid w:val="00971212"/>
    <w:rsid w:val="009725F8"/>
    <w:rsid w:val="009738F6"/>
    <w:rsid w:val="00974940"/>
    <w:rsid w:val="00974B05"/>
    <w:rsid w:val="00974BB0"/>
    <w:rsid w:val="0097611F"/>
    <w:rsid w:val="0097702E"/>
    <w:rsid w:val="009777CF"/>
    <w:rsid w:val="00980F2B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71DB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A3"/>
    <w:rsid w:val="009B7165"/>
    <w:rsid w:val="009B73A2"/>
    <w:rsid w:val="009C059C"/>
    <w:rsid w:val="009C19E9"/>
    <w:rsid w:val="009C1AB5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69"/>
    <w:rsid w:val="009D5E99"/>
    <w:rsid w:val="009D63AB"/>
    <w:rsid w:val="009D7755"/>
    <w:rsid w:val="009E0554"/>
    <w:rsid w:val="009E079A"/>
    <w:rsid w:val="009E1969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817"/>
    <w:rsid w:val="009F799D"/>
    <w:rsid w:val="009F7E84"/>
    <w:rsid w:val="00A03B42"/>
    <w:rsid w:val="00A05DE2"/>
    <w:rsid w:val="00A067FE"/>
    <w:rsid w:val="00A10F02"/>
    <w:rsid w:val="00A11888"/>
    <w:rsid w:val="00A136C3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3797F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1F80"/>
    <w:rsid w:val="00A62BFC"/>
    <w:rsid w:val="00A6496B"/>
    <w:rsid w:val="00A64AEB"/>
    <w:rsid w:val="00A65425"/>
    <w:rsid w:val="00A65C1F"/>
    <w:rsid w:val="00A66990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1395"/>
    <w:rsid w:val="00A954D8"/>
    <w:rsid w:val="00A9671C"/>
    <w:rsid w:val="00A9769E"/>
    <w:rsid w:val="00A97749"/>
    <w:rsid w:val="00AA1553"/>
    <w:rsid w:val="00AA3AC8"/>
    <w:rsid w:val="00AA423E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117"/>
    <w:rsid w:val="00AB5955"/>
    <w:rsid w:val="00AB5A5A"/>
    <w:rsid w:val="00AB71C6"/>
    <w:rsid w:val="00AB7EA2"/>
    <w:rsid w:val="00AC0234"/>
    <w:rsid w:val="00AC1E31"/>
    <w:rsid w:val="00AC26C2"/>
    <w:rsid w:val="00AC3E63"/>
    <w:rsid w:val="00AC4320"/>
    <w:rsid w:val="00AC53FE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4A32"/>
    <w:rsid w:val="00AE5998"/>
    <w:rsid w:val="00AE5A3F"/>
    <w:rsid w:val="00AE67B2"/>
    <w:rsid w:val="00AE7394"/>
    <w:rsid w:val="00AE7935"/>
    <w:rsid w:val="00AE7DF3"/>
    <w:rsid w:val="00AF1C7D"/>
    <w:rsid w:val="00AF20A6"/>
    <w:rsid w:val="00AF2778"/>
    <w:rsid w:val="00AF3563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2484"/>
    <w:rsid w:val="00B1514F"/>
    <w:rsid w:val="00B15449"/>
    <w:rsid w:val="00B154C9"/>
    <w:rsid w:val="00B15627"/>
    <w:rsid w:val="00B159C6"/>
    <w:rsid w:val="00B15ADA"/>
    <w:rsid w:val="00B1608D"/>
    <w:rsid w:val="00B1608F"/>
    <w:rsid w:val="00B208EC"/>
    <w:rsid w:val="00B2397F"/>
    <w:rsid w:val="00B2755F"/>
    <w:rsid w:val="00B30ADA"/>
    <w:rsid w:val="00B331AE"/>
    <w:rsid w:val="00B359B7"/>
    <w:rsid w:val="00B36BDD"/>
    <w:rsid w:val="00B40B5C"/>
    <w:rsid w:val="00B40C67"/>
    <w:rsid w:val="00B42667"/>
    <w:rsid w:val="00B444B8"/>
    <w:rsid w:val="00B4746E"/>
    <w:rsid w:val="00B47FD1"/>
    <w:rsid w:val="00B516BB"/>
    <w:rsid w:val="00B51B0A"/>
    <w:rsid w:val="00B51F57"/>
    <w:rsid w:val="00B5205D"/>
    <w:rsid w:val="00B54665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3D0C"/>
    <w:rsid w:val="00B74842"/>
    <w:rsid w:val="00B751DC"/>
    <w:rsid w:val="00B8019B"/>
    <w:rsid w:val="00B81757"/>
    <w:rsid w:val="00B82DD7"/>
    <w:rsid w:val="00B83F9A"/>
    <w:rsid w:val="00B84B18"/>
    <w:rsid w:val="00B86A6B"/>
    <w:rsid w:val="00B8722E"/>
    <w:rsid w:val="00B8739B"/>
    <w:rsid w:val="00B912B1"/>
    <w:rsid w:val="00B9515D"/>
    <w:rsid w:val="00B96CCF"/>
    <w:rsid w:val="00B97C71"/>
    <w:rsid w:val="00B97CBC"/>
    <w:rsid w:val="00BA0EDF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25F9"/>
    <w:rsid w:val="00BB3CD8"/>
    <w:rsid w:val="00BB5E22"/>
    <w:rsid w:val="00BC02B4"/>
    <w:rsid w:val="00BC136A"/>
    <w:rsid w:val="00BC175D"/>
    <w:rsid w:val="00BC1BBC"/>
    <w:rsid w:val="00BC1C99"/>
    <w:rsid w:val="00BC2D6C"/>
    <w:rsid w:val="00BC3A5F"/>
    <w:rsid w:val="00BC3BE9"/>
    <w:rsid w:val="00BC3E21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D6F07"/>
    <w:rsid w:val="00BD7D65"/>
    <w:rsid w:val="00BE5261"/>
    <w:rsid w:val="00BE7500"/>
    <w:rsid w:val="00BE7B3F"/>
    <w:rsid w:val="00BF2166"/>
    <w:rsid w:val="00BF2ECB"/>
    <w:rsid w:val="00BF4228"/>
    <w:rsid w:val="00BF4416"/>
    <w:rsid w:val="00BF449E"/>
    <w:rsid w:val="00BF46D7"/>
    <w:rsid w:val="00BF5561"/>
    <w:rsid w:val="00BF630D"/>
    <w:rsid w:val="00BF6EB6"/>
    <w:rsid w:val="00C03D2D"/>
    <w:rsid w:val="00C042E6"/>
    <w:rsid w:val="00C05C88"/>
    <w:rsid w:val="00C060C8"/>
    <w:rsid w:val="00C07B22"/>
    <w:rsid w:val="00C07D96"/>
    <w:rsid w:val="00C07DE1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30AE"/>
    <w:rsid w:val="00C235C7"/>
    <w:rsid w:val="00C23FA7"/>
    <w:rsid w:val="00C24650"/>
    <w:rsid w:val="00C2597A"/>
    <w:rsid w:val="00C25AAF"/>
    <w:rsid w:val="00C26446"/>
    <w:rsid w:val="00C27752"/>
    <w:rsid w:val="00C27B36"/>
    <w:rsid w:val="00C31C47"/>
    <w:rsid w:val="00C3228D"/>
    <w:rsid w:val="00C32347"/>
    <w:rsid w:val="00C33079"/>
    <w:rsid w:val="00C330DF"/>
    <w:rsid w:val="00C332F6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55CEA"/>
    <w:rsid w:val="00C614CA"/>
    <w:rsid w:val="00C614FA"/>
    <w:rsid w:val="00C62547"/>
    <w:rsid w:val="00C62A91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51DB"/>
    <w:rsid w:val="00C768BB"/>
    <w:rsid w:val="00C773BD"/>
    <w:rsid w:val="00C80E31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3E7"/>
    <w:rsid w:val="00CA55A2"/>
    <w:rsid w:val="00CA6073"/>
    <w:rsid w:val="00CA654B"/>
    <w:rsid w:val="00CA7FB5"/>
    <w:rsid w:val="00CB1831"/>
    <w:rsid w:val="00CB192D"/>
    <w:rsid w:val="00CB20EE"/>
    <w:rsid w:val="00CB474B"/>
    <w:rsid w:val="00CB6E29"/>
    <w:rsid w:val="00CC05BA"/>
    <w:rsid w:val="00CC365E"/>
    <w:rsid w:val="00CD0243"/>
    <w:rsid w:val="00CD1CFE"/>
    <w:rsid w:val="00CD3E58"/>
    <w:rsid w:val="00CD4A61"/>
    <w:rsid w:val="00CD4C7B"/>
    <w:rsid w:val="00CD6435"/>
    <w:rsid w:val="00CD74B6"/>
    <w:rsid w:val="00CE054B"/>
    <w:rsid w:val="00CE3213"/>
    <w:rsid w:val="00CE3BD1"/>
    <w:rsid w:val="00CE3E5A"/>
    <w:rsid w:val="00CE476C"/>
    <w:rsid w:val="00CE57F5"/>
    <w:rsid w:val="00CF07F5"/>
    <w:rsid w:val="00CF2C9F"/>
    <w:rsid w:val="00CF5B76"/>
    <w:rsid w:val="00CF6D52"/>
    <w:rsid w:val="00CF77AE"/>
    <w:rsid w:val="00CF7C3A"/>
    <w:rsid w:val="00D00174"/>
    <w:rsid w:val="00D03B68"/>
    <w:rsid w:val="00D04103"/>
    <w:rsid w:val="00D048E7"/>
    <w:rsid w:val="00D05C9E"/>
    <w:rsid w:val="00D1178A"/>
    <w:rsid w:val="00D133BA"/>
    <w:rsid w:val="00D14A4C"/>
    <w:rsid w:val="00D20104"/>
    <w:rsid w:val="00D20E7D"/>
    <w:rsid w:val="00D23786"/>
    <w:rsid w:val="00D26AA2"/>
    <w:rsid w:val="00D272E7"/>
    <w:rsid w:val="00D27E3D"/>
    <w:rsid w:val="00D30FC0"/>
    <w:rsid w:val="00D3258F"/>
    <w:rsid w:val="00D33118"/>
    <w:rsid w:val="00D34B1E"/>
    <w:rsid w:val="00D402F5"/>
    <w:rsid w:val="00D4086D"/>
    <w:rsid w:val="00D41585"/>
    <w:rsid w:val="00D42844"/>
    <w:rsid w:val="00D43109"/>
    <w:rsid w:val="00D44328"/>
    <w:rsid w:val="00D450E9"/>
    <w:rsid w:val="00D45BC0"/>
    <w:rsid w:val="00D50FAB"/>
    <w:rsid w:val="00D548D7"/>
    <w:rsid w:val="00D54EF9"/>
    <w:rsid w:val="00D57B51"/>
    <w:rsid w:val="00D62D62"/>
    <w:rsid w:val="00D62E82"/>
    <w:rsid w:val="00D63BB4"/>
    <w:rsid w:val="00D641AE"/>
    <w:rsid w:val="00D64B2D"/>
    <w:rsid w:val="00D6561B"/>
    <w:rsid w:val="00D66F34"/>
    <w:rsid w:val="00D679C7"/>
    <w:rsid w:val="00D73896"/>
    <w:rsid w:val="00D738D6"/>
    <w:rsid w:val="00D742F4"/>
    <w:rsid w:val="00D75638"/>
    <w:rsid w:val="00D80795"/>
    <w:rsid w:val="00D80F5E"/>
    <w:rsid w:val="00D8694E"/>
    <w:rsid w:val="00D870B2"/>
    <w:rsid w:val="00D87A08"/>
    <w:rsid w:val="00D87E00"/>
    <w:rsid w:val="00D90718"/>
    <w:rsid w:val="00D9134D"/>
    <w:rsid w:val="00D91BCA"/>
    <w:rsid w:val="00D95AF8"/>
    <w:rsid w:val="00D95F4A"/>
    <w:rsid w:val="00D96D11"/>
    <w:rsid w:val="00DA0017"/>
    <w:rsid w:val="00DA046B"/>
    <w:rsid w:val="00DA0867"/>
    <w:rsid w:val="00DA1584"/>
    <w:rsid w:val="00DA1E58"/>
    <w:rsid w:val="00DA2930"/>
    <w:rsid w:val="00DA4533"/>
    <w:rsid w:val="00DA523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1443"/>
    <w:rsid w:val="00DD43BA"/>
    <w:rsid w:val="00DD5C4C"/>
    <w:rsid w:val="00DD70FA"/>
    <w:rsid w:val="00DD722F"/>
    <w:rsid w:val="00DE0D91"/>
    <w:rsid w:val="00DE13DA"/>
    <w:rsid w:val="00DE17D1"/>
    <w:rsid w:val="00DE44B0"/>
    <w:rsid w:val="00DE4A98"/>
    <w:rsid w:val="00DE56A5"/>
    <w:rsid w:val="00DF08B7"/>
    <w:rsid w:val="00DF2B7B"/>
    <w:rsid w:val="00DF5B0C"/>
    <w:rsid w:val="00E00233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134FA"/>
    <w:rsid w:val="00E13EA5"/>
    <w:rsid w:val="00E23537"/>
    <w:rsid w:val="00E23F4E"/>
    <w:rsid w:val="00E25BEF"/>
    <w:rsid w:val="00E25C19"/>
    <w:rsid w:val="00E307FC"/>
    <w:rsid w:val="00E313B9"/>
    <w:rsid w:val="00E31932"/>
    <w:rsid w:val="00E31E89"/>
    <w:rsid w:val="00E33147"/>
    <w:rsid w:val="00E34168"/>
    <w:rsid w:val="00E347AA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2671"/>
    <w:rsid w:val="00E539D7"/>
    <w:rsid w:val="00E54361"/>
    <w:rsid w:val="00E546AB"/>
    <w:rsid w:val="00E563E0"/>
    <w:rsid w:val="00E568B2"/>
    <w:rsid w:val="00E56EEF"/>
    <w:rsid w:val="00E5719F"/>
    <w:rsid w:val="00E60CAF"/>
    <w:rsid w:val="00E61B39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59A4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4A03"/>
    <w:rsid w:val="00E854D4"/>
    <w:rsid w:val="00E858CD"/>
    <w:rsid w:val="00E870A0"/>
    <w:rsid w:val="00E91487"/>
    <w:rsid w:val="00E91DDC"/>
    <w:rsid w:val="00E925C9"/>
    <w:rsid w:val="00E92B2F"/>
    <w:rsid w:val="00E9444B"/>
    <w:rsid w:val="00E94C85"/>
    <w:rsid w:val="00EA0AAF"/>
    <w:rsid w:val="00EA12FB"/>
    <w:rsid w:val="00EA1DC3"/>
    <w:rsid w:val="00EA1ED6"/>
    <w:rsid w:val="00EA6CB4"/>
    <w:rsid w:val="00EB2AF5"/>
    <w:rsid w:val="00EB4566"/>
    <w:rsid w:val="00EB4A47"/>
    <w:rsid w:val="00EB4E5D"/>
    <w:rsid w:val="00EB564C"/>
    <w:rsid w:val="00EB7699"/>
    <w:rsid w:val="00EC0A52"/>
    <w:rsid w:val="00EC39EB"/>
    <w:rsid w:val="00EC464F"/>
    <w:rsid w:val="00EC4A25"/>
    <w:rsid w:val="00EC4B07"/>
    <w:rsid w:val="00EC5873"/>
    <w:rsid w:val="00EC5DC4"/>
    <w:rsid w:val="00EC6A06"/>
    <w:rsid w:val="00EC717A"/>
    <w:rsid w:val="00ED09BF"/>
    <w:rsid w:val="00ED0A76"/>
    <w:rsid w:val="00ED1D93"/>
    <w:rsid w:val="00ED20B1"/>
    <w:rsid w:val="00ED43A5"/>
    <w:rsid w:val="00EE1512"/>
    <w:rsid w:val="00EE217F"/>
    <w:rsid w:val="00EE4120"/>
    <w:rsid w:val="00EE44AD"/>
    <w:rsid w:val="00EE52E6"/>
    <w:rsid w:val="00EE7D61"/>
    <w:rsid w:val="00EF1E0A"/>
    <w:rsid w:val="00EF267F"/>
    <w:rsid w:val="00EF2F1F"/>
    <w:rsid w:val="00EF4E32"/>
    <w:rsid w:val="00F025A2"/>
    <w:rsid w:val="00F02FB7"/>
    <w:rsid w:val="00F04C08"/>
    <w:rsid w:val="00F04C45"/>
    <w:rsid w:val="00F05D71"/>
    <w:rsid w:val="00F06F0B"/>
    <w:rsid w:val="00F07388"/>
    <w:rsid w:val="00F07FD6"/>
    <w:rsid w:val="00F107AD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6E91"/>
    <w:rsid w:val="00F2754C"/>
    <w:rsid w:val="00F31951"/>
    <w:rsid w:val="00F31CC8"/>
    <w:rsid w:val="00F32173"/>
    <w:rsid w:val="00F3250E"/>
    <w:rsid w:val="00F326D6"/>
    <w:rsid w:val="00F32EE5"/>
    <w:rsid w:val="00F37743"/>
    <w:rsid w:val="00F37FF3"/>
    <w:rsid w:val="00F40310"/>
    <w:rsid w:val="00F422CF"/>
    <w:rsid w:val="00F42B86"/>
    <w:rsid w:val="00F44FCE"/>
    <w:rsid w:val="00F47078"/>
    <w:rsid w:val="00F4731F"/>
    <w:rsid w:val="00F5219D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67B51"/>
    <w:rsid w:val="00F705E6"/>
    <w:rsid w:val="00F71B89"/>
    <w:rsid w:val="00F7353C"/>
    <w:rsid w:val="00F75B5F"/>
    <w:rsid w:val="00F76050"/>
    <w:rsid w:val="00F76F8F"/>
    <w:rsid w:val="00F777E4"/>
    <w:rsid w:val="00F80BD2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01C5"/>
    <w:rsid w:val="00F941A4"/>
    <w:rsid w:val="00F97D6E"/>
    <w:rsid w:val="00FA0274"/>
    <w:rsid w:val="00FA0808"/>
    <w:rsid w:val="00FA0BF6"/>
    <w:rsid w:val="00FA0D44"/>
    <w:rsid w:val="00FA1266"/>
    <w:rsid w:val="00FA1C5C"/>
    <w:rsid w:val="00FA22EE"/>
    <w:rsid w:val="00FA2EA8"/>
    <w:rsid w:val="00FA4BA7"/>
    <w:rsid w:val="00FA6B50"/>
    <w:rsid w:val="00FA7156"/>
    <w:rsid w:val="00FA760F"/>
    <w:rsid w:val="00FA7A0F"/>
    <w:rsid w:val="00FB0844"/>
    <w:rsid w:val="00FB0A43"/>
    <w:rsid w:val="00FB0FCA"/>
    <w:rsid w:val="00FB11CA"/>
    <w:rsid w:val="00FB16A0"/>
    <w:rsid w:val="00FB1ACE"/>
    <w:rsid w:val="00FB1FDF"/>
    <w:rsid w:val="00FB2598"/>
    <w:rsid w:val="00FB4507"/>
    <w:rsid w:val="00FB46CA"/>
    <w:rsid w:val="00FB69F2"/>
    <w:rsid w:val="00FC0B77"/>
    <w:rsid w:val="00FC1192"/>
    <w:rsid w:val="00FC40D3"/>
    <w:rsid w:val="00FC5133"/>
    <w:rsid w:val="00FC5693"/>
    <w:rsid w:val="00FC77D8"/>
    <w:rsid w:val="00FD03E5"/>
    <w:rsid w:val="00FD1906"/>
    <w:rsid w:val="00FD1FA7"/>
    <w:rsid w:val="00FD2CBF"/>
    <w:rsid w:val="00FD32B0"/>
    <w:rsid w:val="00FD4EDD"/>
    <w:rsid w:val="00FD69F4"/>
    <w:rsid w:val="00FE0DB2"/>
    <w:rsid w:val="00FE55FB"/>
    <w:rsid w:val="00FE5909"/>
    <w:rsid w:val="00FF05DE"/>
    <w:rsid w:val="00FF0BC3"/>
    <w:rsid w:val="00FF36EC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character" w:customStyle="1" w:styleId="B1Char1">
    <w:name w:val="B1 Char1"/>
    <w:link w:val="B1"/>
    <w:rsid w:val="002A4D88"/>
    <w:rPr>
      <w:lang w:val="en-GB"/>
    </w:rPr>
  </w:style>
  <w:style w:type="character" w:customStyle="1" w:styleId="NOChar">
    <w:name w:val="NO Char"/>
    <w:link w:val="NO"/>
    <w:rsid w:val="002A4D8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2312</Words>
  <Characters>13181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15463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 2</cp:lastModifiedBy>
  <cp:revision>2</cp:revision>
  <dcterms:created xsi:type="dcterms:W3CDTF">2022-11-02T22:00:00Z</dcterms:created>
  <dcterms:modified xsi:type="dcterms:W3CDTF">2022-11-02T22:00:00Z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